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DIN Alternate" w:hAnsi="DIN Alternate" w:eastAsia="DIN Alternate" w:cs="DIN Alternate"/>
          <w:sz w:val="32"/>
          <w:szCs w:val="32"/>
        </w:rPr>
      </w:pPr>
      <w:r>
        <w:rPr>
          <w:rFonts w:eastAsia="DIN Alternate" w:cs="DIN Alternate" w:ascii="DIN Alternate" w:hAnsi="DIN Alternate"/>
          <w:sz w:val="32"/>
          <w:szCs w:val="32"/>
        </w:rPr>
      </w:r>
    </w:p>
    <w:p>
      <w:pPr>
        <w:pStyle w:val="Normal"/>
        <w:spacing w:lineRule="auto" w:line="360" w:before="0" w:after="0"/>
        <w:jc w:val="center"/>
        <w:rPr>
          <w:rFonts w:ascii="DIN Alternate" w:hAnsi="DIN Alternate" w:eastAsia="DIN Alternate" w:cs="DIN Alternate"/>
          <w:smallCaps/>
          <w:spacing w:val="-4"/>
          <w:sz w:val="32"/>
          <w:szCs w:val="32"/>
          <w:lang w:val="en-GB"/>
        </w:rPr>
      </w:pPr>
      <w:r>
        <w:rPr>
          <w:rFonts w:ascii="DIN Alternate" w:hAnsi="DIN Alternate"/>
          <w:smallCaps/>
          <w:spacing w:val="-4"/>
          <w:sz w:val="32"/>
          <w:szCs w:val="32"/>
          <w:lang w:val="en-GB"/>
        </w:rPr>
        <w:t>International Competition</w:t>
      </w:r>
    </w:p>
    <w:p>
      <w:pPr>
        <w:pStyle w:val="Normal"/>
        <w:spacing w:lineRule="auto" w:line="360" w:before="0" w:after="0"/>
        <w:jc w:val="center"/>
        <w:rPr>
          <w:rFonts w:ascii="DIN Alternate" w:hAnsi="DIN Alternate" w:eastAsia="DIN Alternate" w:cs="DIN Alternate"/>
          <w:b/>
          <w:b/>
          <w:smallCaps/>
          <w:spacing w:val="-4"/>
          <w:sz w:val="32"/>
          <w:szCs w:val="32"/>
          <w:lang w:val="en-GB"/>
        </w:rPr>
      </w:pPr>
      <w:r>
        <w:rPr>
          <w:b/>
          <w:smallCaps/>
          <w:spacing w:val="-4"/>
          <w:sz w:val="32"/>
          <w:szCs w:val="32"/>
          <w:lang w:val="en-GB"/>
        </w:rPr>
        <w:t>“</w:t>
      </w:r>
      <w:r>
        <w:rPr>
          <w:rFonts w:ascii="DIN Alternate" w:hAnsi="DIN Alternate"/>
          <w:b/>
          <w:smallCaps/>
          <w:spacing w:val="-4"/>
          <w:sz w:val="32"/>
          <w:szCs w:val="32"/>
          <w:lang w:val="en-GB"/>
        </w:rPr>
        <w:t>An Opening Sequence for The Days of Light Festival</w:t>
      </w:r>
      <w:r>
        <w:rPr>
          <w:b/>
          <w:smallCaps/>
          <w:spacing w:val="-4"/>
          <w:sz w:val="32"/>
          <w:szCs w:val="32"/>
          <w:lang w:val="en-GB"/>
        </w:rPr>
        <w:t>”</w:t>
      </w:r>
    </w:p>
    <w:p>
      <w:pPr>
        <w:pStyle w:val="Normal"/>
        <w:spacing w:lineRule="auto" w:line="360" w:before="0" w:after="0"/>
        <w:jc w:val="center"/>
        <w:rPr>
          <w:lang w:val="en-GB"/>
        </w:rPr>
      </w:pPr>
      <w:r>
        <w:rPr>
          <w:rFonts w:ascii="DIN Alternate" w:hAnsi="DIN Alternate"/>
          <w:smallCaps/>
          <w:sz w:val="32"/>
          <w:szCs w:val="32"/>
          <w:lang w:val="en-GB"/>
        </w:rPr>
        <w:t>- 2025 edition -</w:t>
      </w:r>
    </w:p>
    <w:p>
      <w:pPr>
        <w:pStyle w:val="Normal"/>
        <w:spacing w:lineRule="auto" w:line="240" w:before="0" w:after="0"/>
        <w:jc w:val="center"/>
        <w:rPr>
          <w:rFonts w:ascii="DIN Alternate" w:hAnsi="DIN Alternate" w:eastAsia="DIN Alternate" w:cs="DIN Alternate"/>
          <w:smallCaps/>
          <w:sz w:val="24"/>
          <w:szCs w:val="24"/>
          <w:lang w:val="en-GB"/>
        </w:rPr>
      </w:pPr>
      <w:r>
        <w:rPr>
          <w:rFonts w:eastAsia="DIN Alternate" w:cs="DIN Alternate" w:ascii="DIN Alternate" w:hAnsi="DIN Alternate"/>
          <w:smallCaps/>
          <w:sz w:val="24"/>
          <w:szCs w:val="24"/>
          <w:lang w:val="en-GB"/>
        </w:rPr>
      </w:r>
    </w:p>
    <w:p>
      <w:pPr>
        <w:pStyle w:val="Normal"/>
        <w:spacing w:lineRule="auto" w:line="240" w:before="0" w:after="0"/>
        <w:jc w:val="center"/>
        <w:rPr>
          <w:rFonts w:ascii="DIN Alternate" w:hAnsi="DIN Alternate" w:eastAsia="DIN Alternate" w:cs="DIN Alternate"/>
          <w:sz w:val="24"/>
          <w:szCs w:val="24"/>
          <w:lang w:val="en-GB"/>
        </w:rPr>
      </w:pPr>
      <w:r>
        <w:rPr>
          <w:rFonts w:eastAsia="DIN Alternate" w:cs="DIN Alternate" w:ascii="DIN Alternate" w:hAnsi="DIN Alternate"/>
          <w:smallCaps/>
          <w:sz w:val="24"/>
          <w:szCs w:val="24"/>
          <w:lang w:val="en-GB"/>
        </w:rPr>
        <w:br/>
      </w:r>
      <w:r>
        <w:rPr>
          <w:rFonts w:ascii="DIN Alternate" w:hAnsi="DIN Alternate"/>
          <w:smallCaps/>
          <w:sz w:val="24"/>
          <w:szCs w:val="24"/>
          <w:u w:val="single" w:color="00000A"/>
          <w:lang w:val="en-GB"/>
        </w:rPr>
        <w:t>COMPETITION ANNOUNCEMENT</w:t>
      </w:r>
      <w:r>
        <w:rPr>
          <w:rFonts w:eastAsia="DIN Alternate" w:cs="DIN Alternate" w:ascii="DIN Alternate" w:hAnsi="DIN Alternate"/>
          <w:sz w:val="24"/>
          <w:szCs w:val="24"/>
          <w:lang w:val="en-GB"/>
        </w:rPr>
        <w:softHyphen/>
      </w:r>
    </w:p>
    <w:p>
      <w:pPr>
        <w:pStyle w:val="Normal"/>
        <w:spacing w:lineRule="auto" w:line="240" w:before="0" w:after="0"/>
        <w:jc w:val="both"/>
        <w:rPr>
          <w:rFonts w:ascii="DIN Alternate" w:hAnsi="DIN Alternate" w:eastAsia="DIN Alternate" w:cs="DIN Alternate"/>
          <w:sz w:val="24"/>
          <w:szCs w:val="24"/>
        </w:rPr>
      </w:pPr>
      <w:r>
        <w:rPr>
          <w:rFonts w:eastAsia="DIN Alternate" w:cs="DIN Alternate" w:ascii="DIN Alternate" w:hAnsi="DIN Alternate"/>
          <w:sz w:val="24"/>
          <w:szCs w:val="24"/>
        </w:rPr>
      </w:r>
    </w:p>
    <w:p>
      <w:pPr>
        <w:pStyle w:val="Normal"/>
        <w:spacing w:lineRule="auto" w:line="240" w:beforeAutospacing="1" w:afterAutospacing="1"/>
        <w:rPr>
          <w:rFonts w:ascii="Times New Roman" w:hAnsi="Times New Roman" w:eastAsia="Times New Roman" w:cs="Times New Roman"/>
          <w:color w:val="00000A"/>
          <w:sz w:val="24"/>
          <w:szCs w:val="24"/>
          <w:lang w:val="en-GB" w:eastAsia="it-IT" w:bidi="ar-SA"/>
        </w:rPr>
      </w:pPr>
      <w:r>
        <w:rPr>
          <w:rFonts w:eastAsia="Times New Roman" w:cs="Times New Roman" w:ascii="Times New Roman" w:hAnsi="Times New Roman"/>
          <w:color w:val="00000A"/>
          <w:sz w:val="24"/>
          <w:szCs w:val="24"/>
          <w:lang w:val="en-GB" w:eastAsia="it-IT" w:bidi="ar-SA"/>
        </w:rPr>
        <w:t>The competition is promoted by the cultural association “Il Circolo”, organizer of “Le Giornate della Luce Festival”.  It focuses on artists and videomakers under 35, who are invited to submit works that capture the essence of the event, emphasizing the role of light as a fundamental</w:t>
        <w:br/>
        <w:t>element in creating the atmosphere where film characters come to life.</w:t>
      </w:r>
    </w:p>
    <w:p>
      <w:pPr>
        <w:pStyle w:val="Normal"/>
        <w:spacing w:lineRule="auto" w:line="240" w:beforeAutospacing="1" w:afterAutospacing="1"/>
        <w:rPr>
          <w:rFonts w:ascii="Times New Roman" w:hAnsi="Times New Roman" w:eastAsia="Times New Roman" w:cs="Times New Roman"/>
          <w:color w:val="00000A"/>
          <w:sz w:val="24"/>
          <w:szCs w:val="24"/>
          <w:lang w:val="en-GB" w:eastAsia="it-IT" w:bidi="ar-SA"/>
        </w:rPr>
      </w:pPr>
      <w:r>
        <w:rPr>
          <w:rFonts w:eastAsia="Times New Roman" w:cs="Times New Roman" w:ascii="Times New Roman" w:hAnsi="Times New Roman"/>
          <w:color w:val="00000A"/>
          <w:sz w:val="24"/>
          <w:szCs w:val="24"/>
          <w:lang w:val="en-GB" w:eastAsia="it-IT" w:bidi="ar-SA"/>
        </w:rPr>
        <w:t>The winning work will have the honour of opening all screenings scheduled during the festival which will be held in Spilimbergo and other municipalities in the Friuli Venezia Giulia region, from 7</w:t>
      </w:r>
      <w:r>
        <w:rPr>
          <w:rFonts w:eastAsia="Times New Roman" w:cs="Times New Roman" w:ascii="Times New Roman" w:hAnsi="Times New Roman"/>
          <w:color w:val="00000A"/>
          <w:sz w:val="24"/>
          <w:szCs w:val="24"/>
          <w:vertAlign w:val="superscript"/>
          <w:lang w:val="en-GB" w:eastAsia="it-IT" w:bidi="ar-SA"/>
        </w:rPr>
        <w:t>th</w:t>
      </w:r>
      <w:r>
        <w:rPr>
          <w:rFonts w:eastAsia="Times New Roman" w:cs="Times New Roman" w:ascii="Times New Roman" w:hAnsi="Times New Roman"/>
          <w:color w:val="00000A"/>
          <w:sz w:val="24"/>
          <w:szCs w:val="24"/>
          <w:lang w:val="en-GB" w:eastAsia="it-IT" w:bidi="ar-SA"/>
        </w:rPr>
        <w:t xml:space="preserve"> to 15</w:t>
      </w:r>
      <w:r>
        <w:rPr>
          <w:rFonts w:eastAsia="Times New Roman" w:cs="Times New Roman" w:ascii="Times New Roman" w:hAnsi="Times New Roman"/>
          <w:color w:val="00000A"/>
          <w:sz w:val="24"/>
          <w:szCs w:val="24"/>
          <w:vertAlign w:val="superscript"/>
          <w:lang w:val="en-GB" w:eastAsia="it-IT" w:bidi="ar-SA"/>
        </w:rPr>
        <w:t>th</w:t>
      </w:r>
      <w:r>
        <w:rPr>
          <w:rFonts w:eastAsia="Times New Roman" w:cs="Times New Roman" w:ascii="Times New Roman" w:hAnsi="Times New Roman"/>
          <w:color w:val="00000A"/>
          <w:sz w:val="24"/>
          <w:szCs w:val="24"/>
          <w:lang w:val="en-GB" w:eastAsia="it-IT" w:bidi="ar-SA"/>
        </w:rPr>
        <w:t xml:space="preserve"> June.</w:t>
      </w:r>
    </w:p>
    <w:p>
      <w:pPr>
        <w:pStyle w:val="Normal"/>
        <w:spacing w:lineRule="auto" w:line="240" w:beforeAutospacing="1" w:afterAutospacing="1"/>
        <w:rPr/>
      </w:pPr>
      <w:r>
        <w:rPr>
          <w:rFonts w:eastAsia="Times New Roman" w:cs="Times New Roman" w:ascii="Times New Roman" w:hAnsi="Times New Roman"/>
          <w:color w:val="00000A"/>
          <w:sz w:val="24"/>
          <w:szCs w:val="24"/>
          <w:lang w:val="en-GB" w:eastAsia="it-IT" w:bidi="ar-SA"/>
        </w:rPr>
        <w:t>The winner will be awarded with of 1000,</w:t>
      </w:r>
      <w:r>
        <w:rPr>
          <w:rFonts w:eastAsia="Times New Roman" w:cs="Times New Roman" w:ascii="Times New Roman" w:hAnsi="Times New Roman"/>
          <w:color w:val="00000A"/>
          <w:sz w:val="24"/>
          <w:szCs w:val="24"/>
          <w:lang w:val="en-GB" w:eastAsia="it-IT" w:bidi="ar-SA"/>
        </w:rPr>
        <w:t>00</w:t>
      </w:r>
      <w:r>
        <w:rPr>
          <w:rFonts w:eastAsia="Times New Roman" w:cs="Times New Roman" w:ascii="Times New Roman" w:hAnsi="Times New Roman"/>
          <w:color w:val="00000A"/>
          <w:sz w:val="24"/>
          <w:szCs w:val="24"/>
          <w:lang w:val="en-GB" w:eastAsia="it-IT" w:bidi="ar-SA"/>
        </w:rPr>
        <w:t xml:space="preserve"> euros - </w:t>
      </w:r>
      <w:r>
        <w:rPr>
          <w:rFonts w:eastAsia="Times New Roman" w:cs="Times New Roman" w:ascii="Times New Roman" w:hAnsi="Times New Roman"/>
          <w:color w:val="00000A"/>
          <w:sz w:val="24"/>
          <w:szCs w:val="24"/>
          <w:lang w:val="en-GB" w:eastAsia="it-IT" w:bidi="ar-SA"/>
        </w:rPr>
        <w:t>(</w:t>
      </w:r>
      <w:r>
        <w:rPr>
          <w:rFonts w:eastAsia="DIN Next LT Pro" w:cs="DIN Next LT Pro" w:ascii="DIN Alternate" w:hAnsi="DIN Alternate"/>
          <w:color w:val="00000A"/>
          <w:sz w:val="24"/>
          <w:szCs w:val="24"/>
          <w:lang w:val="en-GB" w:eastAsia="it-IT" w:bidi="ar-SA"/>
        </w:rPr>
        <w:t>One Thousand Euro, gross)</w:t>
      </w:r>
    </w:p>
    <w:p>
      <w:pPr>
        <w:pStyle w:val="Normal"/>
        <w:spacing w:lineRule="auto" w:line="240" w:beforeAutospacing="1" w:afterAutospacing="1"/>
        <w:rPr>
          <w:rFonts w:ascii="Times New Roman" w:hAnsi="Times New Roman" w:eastAsia="Times New Roman" w:cs="Times New Roman"/>
          <w:color w:val="00000A"/>
          <w:sz w:val="24"/>
          <w:szCs w:val="24"/>
          <w:lang w:val="en-GB" w:eastAsia="it-IT" w:bidi="ar-SA"/>
        </w:rPr>
      </w:pPr>
      <w:r>
        <w:rPr>
          <w:rFonts w:eastAsia="Times New Roman" w:cs="Times New Roman" w:ascii="Times New Roman" w:hAnsi="Times New Roman"/>
          <w:color w:val="00000A"/>
          <w:sz w:val="24"/>
          <w:szCs w:val="24"/>
          <w:lang w:val="en-GB" w:eastAsia="it-IT" w:bidi="ar-SA"/>
        </w:rPr>
        <w:t>For more information and details, please refer to the official call for submission here below.</w:t>
      </w:r>
    </w:p>
    <w:p>
      <w:pPr>
        <w:pStyle w:val="Normal"/>
        <w:spacing w:lineRule="auto" w:line="240" w:before="0" w:after="0"/>
        <w:jc w:val="center"/>
        <w:rPr>
          <w:rFonts w:ascii="DIN Alternate" w:hAnsi="DIN Alternate"/>
          <w:smallCaps/>
          <w:sz w:val="24"/>
          <w:szCs w:val="24"/>
          <w:u w:val="single" w:color="00000A"/>
          <w:lang w:val="en-GB"/>
        </w:rPr>
      </w:pPr>
      <w:r>
        <w:rPr>
          <w:rFonts w:ascii="DIN Alternate" w:hAnsi="DIN Alternate"/>
          <w:smallCaps/>
          <w:sz w:val="24"/>
          <w:szCs w:val="24"/>
          <w:u w:val="single" w:color="00000A"/>
          <w:lang w:val="en-GB"/>
        </w:rPr>
      </w:r>
    </w:p>
    <w:p>
      <w:pPr>
        <w:pStyle w:val="Normal"/>
        <w:spacing w:lineRule="auto" w:line="240" w:before="0" w:after="0"/>
        <w:jc w:val="center"/>
        <w:rPr>
          <w:rFonts w:ascii="DIN Alternate" w:hAnsi="DIN Alternate"/>
          <w:smallCaps/>
          <w:sz w:val="24"/>
          <w:szCs w:val="24"/>
          <w:u w:val="single" w:color="00000A"/>
          <w:lang w:val="en-GB"/>
        </w:rPr>
      </w:pPr>
      <w:r>
        <w:rPr>
          <w:rFonts w:ascii="DIN Alternate" w:hAnsi="DIN Alternate"/>
          <w:smallCaps/>
          <w:sz w:val="24"/>
          <w:szCs w:val="24"/>
          <w:u w:val="single" w:color="00000A"/>
          <w:lang w:val="en-GB"/>
        </w:rPr>
        <w:t>COMPETITION GUIDELINES</w:t>
      </w:r>
    </w:p>
    <w:p>
      <w:pPr>
        <w:pStyle w:val="Normal"/>
        <w:spacing w:lineRule="auto" w:line="240" w:before="0" w:after="0"/>
        <w:rPr>
          <w:rFonts w:ascii="DIN Alternate" w:hAnsi="DIN Alternate" w:eastAsia="DIN Alternate" w:cs="DIN Alternate"/>
          <w:smallCaps/>
          <w:sz w:val="24"/>
          <w:szCs w:val="24"/>
          <w:u w:val="single" w:color="00000A"/>
          <w:lang w:val="en-GB"/>
        </w:rPr>
      </w:pPr>
      <w:r>
        <w:rPr>
          <w:rFonts w:ascii="DIN Alternate" w:hAnsi="DIN Alternate"/>
          <w:smallCaps/>
          <w:sz w:val="24"/>
          <w:szCs w:val="24"/>
          <w:u w:val="single" w:color="00000A"/>
          <w:lang w:val="en-GB"/>
        </w:rPr>
        <w:t>the competition is addressed to under 35 (who should not have turned 36 on april 30</w:t>
      </w:r>
      <w:r>
        <w:rPr>
          <w:rFonts w:ascii="DIN Alternate" w:hAnsi="DIN Alternate"/>
          <w:smallCaps/>
          <w:sz w:val="24"/>
          <w:szCs w:val="24"/>
          <w:u w:val="single" w:color="00000A"/>
          <w:vertAlign w:val="superscript"/>
          <w:lang w:val="en-GB"/>
        </w:rPr>
        <w:t>th</w:t>
      </w:r>
      <w:r>
        <w:rPr>
          <w:rFonts w:ascii="DIN Alternate" w:hAnsi="DIN Alternate"/>
          <w:smallCaps/>
          <w:sz w:val="24"/>
          <w:szCs w:val="24"/>
          <w:u w:val="single" w:color="00000A"/>
          <w:lang w:val="en-GB"/>
        </w:rPr>
        <w:t xml:space="preserve"> yet)</w:t>
      </w:r>
    </w:p>
    <w:p>
      <w:pPr>
        <w:pStyle w:val="Normal"/>
        <w:spacing w:lineRule="auto" w:line="240" w:before="0" w:after="0"/>
        <w:jc w:val="both"/>
        <w:rPr>
          <w:rFonts w:ascii="DIN Alternate" w:hAnsi="DIN Alternate" w:eastAsia="DIN Alternate" w:cs="DIN Alternate"/>
          <w:smallCaps/>
          <w:sz w:val="24"/>
          <w:szCs w:val="24"/>
          <w:lang w:val="en-GB"/>
        </w:rPr>
      </w:pPr>
      <w:r>
        <w:rPr>
          <w:rFonts w:eastAsia="DIN Alternate" w:cs="DIN Alternate" w:ascii="DIN Alternate" w:hAnsi="DIN Alternate"/>
          <w:smallCaps/>
          <w:sz w:val="24"/>
          <w:szCs w:val="24"/>
          <w:lang w:val="en-GB"/>
        </w:rPr>
      </w:r>
    </w:p>
    <w:p>
      <w:pPr>
        <w:pStyle w:val="Normal"/>
        <w:numPr>
          <w:ilvl w:val="0"/>
          <w:numId w:val="1"/>
        </w:numPr>
        <w:tabs>
          <w:tab w:val="left" w:pos="391" w:leader="none"/>
        </w:tabs>
        <w:spacing w:lineRule="auto" w:line="240" w:before="120" w:after="0"/>
        <w:ind w:left="391" w:hanging="391"/>
        <w:jc w:val="both"/>
        <w:rPr/>
      </w:pPr>
      <w:r>
        <w:rPr>
          <w:rFonts w:ascii="DIN Alternate" w:hAnsi="DIN Alternate"/>
          <w:sz w:val="24"/>
          <w:szCs w:val="24"/>
          <w:lang w:val="en-GB"/>
        </w:rPr>
        <w:t xml:space="preserve">The opening sequence must convey the meaning of the The Days of Light festival to the </w:t>
        <w:br/>
        <w:t xml:space="preserve">audience, which is the importance of light and the role of the cinematographers in film </w:t>
        <w:br/>
        <w:t xml:space="preserve">making. If you want to know more about the festival, please visit the website </w:t>
      </w:r>
      <w:hyperlink r:id="rId2">
        <w:r>
          <w:rPr>
            <w:rStyle w:val="Hyperlink0"/>
            <w:lang w:val="en-GB"/>
          </w:rPr>
          <w:t>www.legiornatedellaluce.it</w:t>
        </w:r>
      </w:hyperlink>
      <w:r>
        <w:rPr>
          <w:rFonts w:ascii="DIN Alternate" w:hAnsi="DIN Alternate"/>
          <w:sz w:val="24"/>
          <w:szCs w:val="24"/>
          <w:lang w:val="en-GB"/>
        </w:rPr>
        <w:t>.</w:t>
      </w:r>
    </w:p>
    <w:p>
      <w:pPr>
        <w:pStyle w:val="Normal"/>
        <w:numPr>
          <w:ilvl w:val="0"/>
          <w:numId w:val="1"/>
        </w:numPr>
        <w:tabs>
          <w:tab w:val="left" w:pos="391" w:leader="none"/>
        </w:tabs>
        <w:spacing w:lineRule="auto" w:line="240" w:before="120" w:after="0"/>
        <w:ind w:left="391" w:hanging="391"/>
        <w:jc w:val="both"/>
        <w:rPr>
          <w:rFonts w:ascii="DIN Alternate" w:hAnsi="DIN Alternate" w:eastAsia="DIN Alternate" w:cs="DIN Alternate"/>
          <w:sz w:val="24"/>
          <w:szCs w:val="24"/>
          <w:lang w:val="en-GB"/>
        </w:rPr>
      </w:pPr>
      <w:r>
        <w:rPr>
          <w:rFonts w:ascii="DIN Alternate" w:hAnsi="DIN Alternate"/>
          <w:sz w:val="24"/>
          <w:szCs w:val="24"/>
          <w:lang w:val="en-GB"/>
        </w:rPr>
        <w:t xml:space="preserve">The opening sequence must be unreleased. Any music added to the video must be </w:t>
        <w:br/>
        <w:t>unreleased or not protected by copyright.</w:t>
      </w:r>
    </w:p>
    <w:p>
      <w:pPr>
        <w:pStyle w:val="Normal"/>
        <w:numPr>
          <w:ilvl w:val="0"/>
          <w:numId w:val="1"/>
        </w:numPr>
        <w:tabs>
          <w:tab w:val="left" w:pos="391" w:leader="none"/>
        </w:tabs>
        <w:spacing w:lineRule="auto" w:line="240" w:before="120" w:after="0"/>
        <w:ind w:left="391" w:hanging="391"/>
        <w:jc w:val="both"/>
        <w:rPr/>
      </w:pPr>
      <w:r>
        <w:rPr>
          <w:rFonts w:ascii="DIN Alternate" w:hAnsi="DIN Alternate"/>
          <w:sz w:val="24"/>
          <w:szCs w:val="24"/>
          <w:lang w:val="en-GB"/>
        </w:rPr>
        <w:t xml:space="preserve">The maximum length is 3 minutes, including the section with fixed texts (see paragraph 4). The videos are allowed in any format, they must be high resolution and preferably  mp4 or DVD.   For further technical information, please contact us: </w:t>
      </w:r>
      <w:hyperlink r:id="rId3">
        <w:r>
          <w:rPr>
            <w:rStyle w:val="Hyperlink0"/>
            <w:lang w:val="en-GB"/>
          </w:rPr>
          <w:t>info@legiornatedellaluce.it</w:t>
        </w:r>
      </w:hyperlink>
      <w:r>
        <w:rPr>
          <w:rFonts w:ascii="DIN Alternate" w:hAnsi="DIN Alternate"/>
          <w:sz w:val="24"/>
          <w:szCs w:val="24"/>
          <w:lang w:val="en-GB"/>
        </w:rPr>
        <w:t>.</w:t>
      </w:r>
    </w:p>
    <w:p>
      <w:pPr>
        <w:pStyle w:val="Normal"/>
        <w:numPr>
          <w:ilvl w:val="0"/>
          <w:numId w:val="1"/>
        </w:numPr>
        <w:tabs>
          <w:tab w:val="left" w:pos="391" w:leader="none"/>
        </w:tabs>
        <w:spacing w:lineRule="auto" w:line="240" w:before="120" w:after="0"/>
        <w:ind w:left="391" w:hanging="391"/>
        <w:jc w:val="both"/>
        <w:rPr/>
      </w:pPr>
      <w:r>
        <w:rPr>
          <w:rFonts w:ascii="DIN Alternate" w:hAnsi="DIN Alternate"/>
          <w:sz w:val="24"/>
          <w:szCs w:val="24"/>
          <w:lang w:val="en-GB"/>
        </w:rPr>
        <w:t xml:space="preserve">The opening sequence must include a part showing the following fixed texts, both in Italian and English: the festival title and dates, the logos of The Days of Light (Le Giornate della Luce), “Il Circolo” Cultural Association and the festival partners and sponsors. You can find the texts and an example of how they can be placed at </w:t>
      </w:r>
      <w:r>
        <w:rPr>
          <w:rStyle w:val="Hyperlink0"/>
          <w:lang w:val="en-GB"/>
        </w:rPr>
        <w:t>www.legiornatedellaluce.it/sigle/</w:t>
      </w:r>
      <w:r>
        <w:rPr>
          <w:rFonts w:ascii="DIN Alternate" w:hAnsi="DIN Alternate"/>
          <w:sz w:val="24"/>
          <w:szCs w:val="24"/>
          <w:lang w:val="en-GB"/>
        </w:rPr>
        <w:t xml:space="preserve"> (opening sequence of the previous edition). The above mentioned logos are downloadable from </w:t>
      </w:r>
      <w:hyperlink r:id="rId4">
        <w:r>
          <w:rPr>
            <w:rStyle w:val="CollegamentoInternet"/>
            <w:rFonts w:ascii="DIN Alternate" w:hAnsi="DIN Alternate"/>
            <w:sz w:val="24"/>
            <w:szCs w:val="24"/>
            <w:u w:val="none" w:color="00000A"/>
            <w:lang w:val="en-GB"/>
          </w:rPr>
          <w:t>www.legiornatedellaluce.it/nuovasigla</w:t>
        </w:r>
      </w:hyperlink>
      <w:r>
        <w:rPr>
          <w:rStyle w:val="CollegamentoInternet"/>
          <w:rFonts w:ascii="DIN Alternate" w:hAnsi="DIN Alternate"/>
          <w:sz w:val="24"/>
          <w:szCs w:val="24"/>
          <w:u w:val="none" w:color="000000"/>
          <w:lang w:val="en-GB"/>
        </w:rPr>
        <w:t xml:space="preserve"> or you may request them by</w:t>
      </w:r>
      <w:r>
        <w:rPr>
          <w:rFonts w:ascii="DIN Alternate" w:hAnsi="DIN Alternate"/>
          <w:sz w:val="24"/>
          <w:szCs w:val="24"/>
          <w:lang w:val="en-GB"/>
        </w:rPr>
        <w:t xml:space="preserve"> mail to </w:t>
      </w:r>
      <w:r>
        <w:rPr>
          <w:lang w:val="en-GB"/>
        </w:rPr>
        <w:br/>
      </w:r>
      <w:hyperlink r:id="rId5">
        <w:r>
          <w:rPr>
            <w:rStyle w:val="Hyperlink0"/>
            <w:lang w:val="en-GB"/>
          </w:rPr>
          <w:t>info@legiornatedellaluce.it</w:t>
        </w:r>
      </w:hyperlink>
      <w:r>
        <w:rPr>
          <w:rFonts w:ascii="DIN Alternate" w:hAnsi="DIN Alternate"/>
          <w:sz w:val="24"/>
          <w:szCs w:val="24"/>
          <w:lang w:val="en-GB"/>
        </w:rPr>
        <w:t>.</w:t>
      </w:r>
    </w:p>
    <w:p>
      <w:pPr>
        <w:pStyle w:val="Normal"/>
        <w:numPr>
          <w:ilvl w:val="0"/>
          <w:numId w:val="1"/>
        </w:numPr>
        <w:tabs>
          <w:tab w:val="left" w:pos="391" w:leader="none"/>
          <w:tab w:val="left" w:pos="1791" w:leader="none"/>
        </w:tabs>
        <w:spacing w:lineRule="auto" w:line="240" w:before="120" w:after="0"/>
        <w:ind w:left="391" w:hanging="391"/>
        <w:jc w:val="both"/>
        <w:rPr>
          <w:rFonts w:ascii="DIN Alternate" w:hAnsi="DIN Alternate" w:eastAsia="DIN Alternate" w:cs="DIN Alternate"/>
          <w:sz w:val="24"/>
          <w:szCs w:val="24"/>
          <w:lang w:val="en-GB"/>
        </w:rPr>
      </w:pPr>
      <w:r>
        <w:rPr>
          <w:rFonts w:ascii="DIN Alternate" w:hAnsi="DIN Alternate"/>
          <w:sz w:val="24"/>
          <w:szCs w:val="24"/>
          <w:lang w:val="en-GB"/>
        </w:rPr>
        <w:t>Each author can send two opening sequences at most.</w:t>
      </w:r>
    </w:p>
    <w:p>
      <w:pPr>
        <w:pStyle w:val="Normal"/>
        <w:numPr>
          <w:ilvl w:val="0"/>
          <w:numId w:val="1"/>
        </w:numPr>
        <w:tabs>
          <w:tab w:val="left" w:pos="391" w:leader="none"/>
        </w:tabs>
        <w:spacing w:lineRule="auto" w:line="240" w:before="120" w:after="0"/>
        <w:ind w:left="391" w:hanging="391"/>
        <w:jc w:val="left"/>
        <w:rPr/>
      </w:pPr>
      <w:r>
        <w:rPr>
          <w:rFonts w:ascii="DIN Alternate" w:hAnsi="DIN Alternate"/>
          <w:sz w:val="24"/>
          <w:szCs w:val="24"/>
          <w:lang w:val="en-GB"/>
        </w:rPr>
        <w:t>Participation is free. Contestants are requested to send a copy of the opening sequence in mp4 or in a DVD as described in paragraph 3, together with the completed and signed personal data sheet,</w:t>
      </w:r>
      <w:r>
        <w:rPr>
          <w:rFonts w:ascii="DIN Alternate" w:hAnsi="DIN Alternate"/>
          <w:b/>
          <w:bCs/>
          <w:sz w:val="24"/>
          <w:szCs w:val="24"/>
          <w:lang w:val="en-GB"/>
        </w:rPr>
        <w:t xml:space="preserve"> </w:t>
      </w:r>
      <w:r>
        <w:rPr>
          <w:b/>
          <w:bCs/>
          <w:sz w:val="24"/>
          <w:szCs w:val="24"/>
          <w:lang w:val="en-GB"/>
        </w:rPr>
        <w:t>within 30 April 2025</w:t>
      </w:r>
      <w:r>
        <w:rPr>
          <w:rFonts w:ascii="DIN Alternate" w:hAnsi="DIN Alternate"/>
          <w:sz w:val="24"/>
          <w:szCs w:val="24"/>
          <w:lang w:val="en-GB"/>
        </w:rPr>
        <w:t xml:space="preserve">. The </w:t>
        <w:br/>
        <w:t xml:space="preserve">personal data sheet and logos can be downloaded from </w:t>
      </w:r>
      <w:hyperlink r:id="rId6">
        <w:r>
          <w:rPr>
            <w:rStyle w:val="Hyperlink0"/>
            <w:lang w:val="en-GB"/>
          </w:rPr>
          <w:t>www.legiornatedellaluce.it/nuovasigla</w:t>
        </w:r>
      </w:hyperlink>
      <w:r>
        <w:rPr>
          <w:rFonts w:ascii="DIN Alternate" w:hAnsi="DIN Alternate"/>
          <w:sz w:val="24"/>
          <w:szCs w:val="24"/>
          <w:lang w:val="en-GB"/>
        </w:rPr>
        <w:t xml:space="preserve">. In case there are different authors of the same opening sequence, a personal data sheet shall be filled and signed by each author. All materials must be sent by “WeTransfer” to </w:t>
        <w:br/>
      </w:r>
      <w:hyperlink r:id="rId7">
        <w:r>
          <w:rPr>
            <w:rStyle w:val="Hyperlink0"/>
            <w:lang w:val="en-GB"/>
          </w:rPr>
          <w:t>info@legiornatedellaluce.it</w:t>
        </w:r>
      </w:hyperlink>
      <w:r>
        <w:rPr>
          <w:rFonts w:ascii="DIN Alternate" w:hAnsi="DIN Alternate"/>
          <w:sz w:val="24"/>
          <w:szCs w:val="24"/>
          <w:lang w:val="en-GB"/>
        </w:rPr>
        <w:t xml:space="preserve"> or to the following address:</w:t>
      </w:r>
    </w:p>
    <w:p>
      <w:pPr>
        <w:pStyle w:val="Normal"/>
        <w:spacing w:lineRule="auto" w:line="240" w:before="0" w:after="0"/>
        <w:ind w:left="425" w:hanging="0"/>
        <w:rPr>
          <w:rFonts w:ascii="DIN Alternate" w:hAnsi="DIN Alternate" w:eastAsia="DIN Alternate" w:cs="DIN Alternate"/>
          <w:sz w:val="12"/>
          <w:szCs w:val="12"/>
          <w:lang w:val="en-GB"/>
        </w:rPr>
      </w:pPr>
      <w:r>
        <w:rPr>
          <w:rFonts w:eastAsia="DIN Alternate" w:cs="DIN Alternate" w:ascii="DIN Alternate" w:hAnsi="DIN Alternate"/>
          <w:sz w:val="12"/>
          <w:szCs w:val="12"/>
          <w:lang w:val="en-GB"/>
        </w:rPr>
      </w:r>
    </w:p>
    <w:p>
      <w:pPr>
        <w:pStyle w:val="Normal"/>
        <w:spacing w:lineRule="auto" w:line="240" w:before="0" w:after="0"/>
        <w:ind w:left="425" w:hanging="0"/>
        <w:rPr>
          <w:rFonts w:ascii="DIN Alternate" w:hAnsi="DIN Alternate" w:eastAsia="DIN Alternate" w:cs="DIN Alternate"/>
          <w:sz w:val="24"/>
          <w:szCs w:val="24"/>
        </w:rPr>
      </w:pPr>
      <w:r>
        <w:rPr>
          <w:rFonts w:ascii="DIN Alternate" w:hAnsi="DIN Alternate"/>
          <w:sz w:val="24"/>
          <w:szCs w:val="24"/>
        </w:rPr>
        <w:t>Associazione Culturale “Il Circolo”</w:t>
      </w:r>
      <w:r>
        <w:rPr>
          <w:rFonts w:eastAsia="DIN Alternate" w:cs="DIN Alternate" w:ascii="DIN Alternate" w:hAnsi="DIN Alternate"/>
          <w:sz w:val="24"/>
          <w:szCs w:val="24"/>
        </w:rPr>
        <w:br/>
      </w:r>
      <w:r>
        <w:rPr>
          <w:rFonts w:ascii="DIN Alternate" w:hAnsi="DIN Alternate"/>
          <w:sz w:val="24"/>
          <w:szCs w:val="24"/>
        </w:rPr>
        <w:t>Viale Barbacane, 2</w:t>
      </w:r>
    </w:p>
    <w:p>
      <w:pPr>
        <w:pStyle w:val="Normal"/>
        <w:spacing w:lineRule="auto" w:line="240" w:before="0" w:after="0"/>
        <w:ind w:left="425" w:hanging="0"/>
        <w:rPr>
          <w:rFonts w:ascii="DIN Alternate" w:hAnsi="DIN Alternate" w:eastAsia="DIN Alternate" w:cs="DIN Alternate"/>
          <w:sz w:val="24"/>
          <w:szCs w:val="24"/>
          <w:lang w:val="en-GB"/>
        </w:rPr>
      </w:pPr>
      <w:r>
        <w:rPr>
          <w:rFonts w:ascii="DIN Alternate" w:hAnsi="DIN Alternate"/>
          <w:sz w:val="24"/>
          <w:szCs w:val="24"/>
          <w:lang w:val="en-GB"/>
        </w:rPr>
        <w:t>33097 Spilimbergo (PN)</w:t>
      </w:r>
    </w:p>
    <w:p>
      <w:pPr>
        <w:pStyle w:val="Normal"/>
        <w:spacing w:lineRule="auto" w:line="240" w:before="0" w:after="0"/>
        <w:ind w:left="425" w:hanging="0"/>
        <w:rPr>
          <w:rFonts w:ascii="DIN Alternate" w:hAnsi="DIN Alternate" w:eastAsia="DIN Alternate" w:cs="DIN Alternate"/>
          <w:sz w:val="24"/>
          <w:szCs w:val="24"/>
          <w:lang w:val="en-GB"/>
        </w:rPr>
      </w:pPr>
      <w:r>
        <w:rPr>
          <w:rFonts w:ascii="DIN Alternate" w:hAnsi="DIN Alternate"/>
          <w:sz w:val="24"/>
          <w:szCs w:val="24"/>
          <w:lang w:val="en-GB"/>
        </w:rPr>
        <w:t>ITALY</w:t>
        <w:br/>
        <w:br/>
        <w:t>In case of “WeTransfer” delivery the sender will receive acknowledgement of receipt by email.</w:t>
      </w:r>
    </w:p>
    <w:p>
      <w:pPr>
        <w:pStyle w:val="Normal"/>
        <w:numPr>
          <w:ilvl w:val="0"/>
          <w:numId w:val="1"/>
        </w:numPr>
        <w:tabs>
          <w:tab w:val="left" w:pos="391" w:leader="none"/>
        </w:tabs>
        <w:spacing w:lineRule="auto" w:line="240" w:before="120" w:after="0"/>
        <w:ind w:left="391" w:hanging="391"/>
        <w:jc w:val="both"/>
        <w:rPr>
          <w:rFonts w:ascii="DIN Alternate" w:hAnsi="DIN Alternate" w:eastAsia="DIN Alternate" w:cs="DIN Alternate"/>
          <w:sz w:val="24"/>
          <w:szCs w:val="24"/>
          <w:lang w:val="en-GB"/>
        </w:rPr>
      </w:pPr>
      <w:r>
        <w:rPr>
          <w:rFonts w:ascii="DIN Alternate" w:hAnsi="DIN Alternate"/>
          <w:sz w:val="24"/>
          <w:szCs w:val="24"/>
          <w:lang w:val="en-GB"/>
        </w:rPr>
        <w:t>Participants/senders will bear all shipping costs of the materials.</w:t>
      </w:r>
    </w:p>
    <w:p>
      <w:pPr>
        <w:pStyle w:val="Normal"/>
        <w:numPr>
          <w:ilvl w:val="0"/>
          <w:numId w:val="1"/>
        </w:numPr>
        <w:tabs>
          <w:tab w:val="left" w:pos="391" w:leader="none"/>
        </w:tabs>
        <w:spacing w:lineRule="auto" w:line="240" w:before="120" w:after="0"/>
        <w:ind w:left="391" w:hanging="391"/>
        <w:jc w:val="both"/>
        <w:rPr>
          <w:rFonts w:ascii="DIN Alternate" w:hAnsi="DIN Alternate" w:eastAsia="DIN Alternate" w:cs="DIN Alternate"/>
          <w:sz w:val="24"/>
          <w:szCs w:val="24"/>
          <w:lang w:val="en-GB"/>
        </w:rPr>
      </w:pPr>
      <w:r>
        <w:rPr>
          <w:rFonts w:ascii="DIN Alternate" w:hAnsi="DIN Alternate"/>
          <w:sz w:val="24"/>
          <w:szCs w:val="24"/>
          <w:lang w:val="en-GB"/>
        </w:rPr>
        <w:t>“</w:t>
      </w:r>
      <w:r>
        <w:rPr>
          <w:rFonts w:ascii="DIN Alternate" w:hAnsi="DIN Alternate"/>
          <w:sz w:val="24"/>
          <w:szCs w:val="24"/>
          <w:lang w:val="en-GB"/>
        </w:rPr>
        <w:t xml:space="preserve">Il Circolo” Cultural Association will not give back the material sent for selection and will keep it in its archives. This could be used </w:t>
      </w:r>
      <w:r>
        <w:rPr>
          <w:sz w:val="24"/>
          <w:szCs w:val="24"/>
          <w:lang w:val="en-GB"/>
        </w:rPr>
        <w:t xml:space="preserve">– </w:t>
      </w:r>
      <w:r>
        <w:rPr>
          <w:rFonts w:ascii="DIN Alternate" w:hAnsi="DIN Alternate"/>
          <w:sz w:val="24"/>
          <w:szCs w:val="24"/>
          <w:lang w:val="en-GB"/>
        </w:rPr>
        <w:t xml:space="preserve">after notifying the author </w:t>
      </w:r>
      <w:r>
        <w:rPr>
          <w:sz w:val="24"/>
          <w:szCs w:val="24"/>
          <w:lang w:val="en-GB"/>
        </w:rPr>
        <w:t xml:space="preserve">– </w:t>
      </w:r>
      <w:r>
        <w:rPr>
          <w:rFonts w:ascii="DIN Alternate" w:hAnsi="DIN Alternate"/>
          <w:sz w:val="24"/>
          <w:szCs w:val="24"/>
          <w:lang w:val="en-GB"/>
        </w:rPr>
        <w:t>for non-profit events and exclusively for educational purposes and screenings as part of the Association's initiatives. The author of the work is not entitled to move any economic claim for rights.</w:t>
      </w:r>
    </w:p>
    <w:p>
      <w:pPr>
        <w:pStyle w:val="Normal"/>
        <w:numPr>
          <w:ilvl w:val="0"/>
          <w:numId w:val="1"/>
        </w:numPr>
        <w:tabs>
          <w:tab w:val="left" w:pos="391" w:leader="none"/>
        </w:tabs>
        <w:spacing w:lineRule="auto" w:line="240" w:before="120" w:after="0"/>
        <w:ind w:left="391" w:hanging="391"/>
        <w:jc w:val="both"/>
        <w:rPr>
          <w:rFonts w:ascii="DIN Alternate" w:hAnsi="DIN Alternate" w:eastAsia="DIN Alternate" w:cs="DIN Alternate"/>
          <w:sz w:val="24"/>
          <w:szCs w:val="24"/>
          <w:lang w:val="en-GB"/>
        </w:rPr>
      </w:pPr>
      <w:r>
        <w:rPr>
          <w:rFonts w:ascii="DIN Alternate" w:hAnsi="DIN Alternate"/>
          <w:sz w:val="24"/>
          <w:szCs w:val="24"/>
          <w:lang w:val="en-GB"/>
        </w:rPr>
        <w:t xml:space="preserve">The organisers of The Days of Light festival will have the rights to use the opening </w:t>
        <w:br/>
        <w:t>sequences exclusively for purposes related to the event (screening during the festival, inside events and on the Internet). The organisers refuse any responsibility for the use of the opening sequences made by third parties.</w:t>
      </w:r>
    </w:p>
    <w:p>
      <w:pPr>
        <w:pStyle w:val="Normal"/>
        <w:numPr>
          <w:ilvl w:val="0"/>
          <w:numId w:val="1"/>
        </w:numPr>
        <w:tabs>
          <w:tab w:val="left" w:pos="391" w:leader="none"/>
        </w:tabs>
        <w:spacing w:lineRule="auto" w:line="240" w:before="120" w:after="0"/>
        <w:ind w:left="391" w:hanging="391"/>
        <w:jc w:val="both"/>
        <w:rPr>
          <w:rFonts w:ascii="DIN Alternate" w:hAnsi="DIN Alternate" w:eastAsia="DIN Alternate" w:cs="DIN Alternate"/>
          <w:sz w:val="24"/>
          <w:szCs w:val="24"/>
          <w:lang w:val="en-GB"/>
        </w:rPr>
      </w:pPr>
      <w:r>
        <w:rPr>
          <w:rFonts w:ascii="DIN Alternate" w:hAnsi="DIN Alternate"/>
          <w:sz w:val="24"/>
          <w:szCs w:val="24"/>
          <w:lang w:val="en-GB"/>
        </w:rPr>
        <w:t>The artistic direction of The Days of Light festival will examine the works submitted and at its sole discretion will select the winning opening sequence, based on its artistic value and/or content.</w:t>
      </w:r>
    </w:p>
    <w:p>
      <w:pPr>
        <w:pStyle w:val="Normal"/>
        <w:numPr>
          <w:ilvl w:val="0"/>
          <w:numId w:val="1"/>
        </w:numPr>
        <w:tabs>
          <w:tab w:val="left" w:pos="391" w:leader="none"/>
        </w:tabs>
        <w:spacing w:lineRule="auto" w:line="240" w:before="120" w:after="0"/>
        <w:ind w:left="391" w:hanging="391"/>
        <w:jc w:val="both"/>
        <w:rPr/>
      </w:pPr>
      <w:r>
        <w:rPr>
          <w:rFonts w:ascii="DIN Alternate" w:hAnsi="DIN Alternate"/>
          <w:sz w:val="24"/>
          <w:szCs w:val="24"/>
          <w:lang w:val="en-GB"/>
        </w:rPr>
        <w:t xml:space="preserve">The winning opening sequence will be awarded with </w:t>
      </w:r>
      <w:r>
        <w:rPr>
          <w:rFonts w:eastAsia="DIN Next LT Pro" w:cs="DIN Next LT Pro" w:ascii="DIN Next LT Pro" w:hAnsi="DIN Next LT Pro"/>
          <w:sz w:val="24"/>
          <w:szCs w:val="24"/>
          <w:lang w:val="en-GB"/>
        </w:rPr>
        <w:t xml:space="preserve">€ </w:t>
      </w:r>
      <w:r>
        <w:rPr>
          <w:rFonts w:eastAsia="DIN Next LT Pro" w:cs="DIN Next LT Pro" w:ascii="DIN Alternate" w:hAnsi="DIN Alternate"/>
          <w:sz w:val="24"/>
          <w:szCs w:val="24"/>
          <w:lang w:val="en-GB"/>
        </w:rPr>
        <w:t xml:space="preserve">1.000,00 </w:t>
      </w:r>
      <w:bookmarkStart w:id="0" w:name="__DdeLink__122_2749649016"/>
      <w:r>
        <w:rPr>
          <w:rFonts w:eastAsia="DIN Next LT Pro" w:cs="DIN Next LT Pro" w:ascii="DIN Alternate" w:hAnsi="DIN Alternate"/>
          <w:sz w:val="24"/>
          <w:szCs w:val="24"/>
          <w:lang w:val="en-GB"/>
        </w:rPr>
        <w:t>(One Thousand Euro, gross)</w:t>
      </w:r>
      <w:bookmarkEnd w:id="0"/>
    </w:p>
    <w:p>
      <w:pPr>
        <w:pStyle w:val="Normal"/>
        <w:numPr>
          <w:ilvl w:val="0"/>
          <w:numId w:val="1"/>
        </w:numPr>
        <w:tabs>
          <w:tab w:val="left" w:pos="391" w:leader="none"/>
        </w:tabs>
        <w:spacing w:lineRule="auto" w:line="240" w:before="120" w:after="0"/>
        <w:ind w:left="391" w:hanging="391"/>
        <w:jc w:val="both"/>
        <w:rPr>
          <w:rFonts w:ascii="DIN Alternate" w:hAnsi="DIN Alternate" w:eastAsia="DIN Alternate" w:cs="DIN Alternate"/>
          <w:sz w:val="24"/>
          <w:szCs w:val="24"/>
          <w:lang w:val="en-GB"/>
        </w:rPr>
      </w:pPr>
      <w:r>
        <w:rPr>
          <w:rFonts w:ascii="DIN Alternate" w:hAnsi="DIN Alternate"/>
          <w:sz w:val="24"/>
          <w:szCs w:val="24"/>
          <w:lang w:val="en-GB"/>
        </w:rPr>
        <w:t>In case of victory, the direction of The Days of Light may require the author to update the opening sequence in relation to the texts and logos, as a result of any subsequent changes, and send the new copy in mp4 or DVD format.</w:t>
      </w:r>
    </w:p>
    <w:p>
      <w:pPr>
        <w:pStyle w:val="Normal"/>
        <w:numPr>
          <w:ilvl w:val="0"/>
          <w:numId w:val="1"/>
        </w:numPr>
        <w:tabs>
          <w:tab w:val="left" w:pos="391" w:leader="none"/>
        </w:tabs>
        <w:spacing w:lineRule="auto" w:line="240" w:before="120" w:after="0"/>
        <w:ind w:left="391" w:hanging="391"/>
        <w:jc w:val="both"/>
        <w:rPr>
          <w:rFonts w:ascii="DIN Alternate" w:hAnsi="DIN Alternate" w:eastAsia="DIN Alternate" w:cs="DIN Alternate"/>
          <w:sz w:val="24"/>
          <w:szCs w:val="24"/>
          <w:lang w:val="en-GB"/>
        </w:rPr>
      </w:pPr>
      <w:r>
        <w:rPr>
          <w:rFonts w:ascii="DIN Alternate" w:hAnsi="DIN Alternate"/>
          <w:sz w:val="24"/>
          <w:szCs w:val="24"/>
          <w:lang w:val="en-GB"/>
        </w:rPr>
        <w:t>The participation in the competition implies full acceptance of these rules.</w:t>
      </w:r>
    </w:p>
    <w:p>
      <w:pPr>
        <w:pStyle w:val="Normal"/>
        <w:numPr>
          <w:ilvl w:val="0"/>
          <w:numId w:val="1"/>
        </w:numPr>
        <w:tabs>
          <w:tab w:val="left" w:pos="391" w:leader="none"/>
        </w:tabs>
        <w:spacing w:lineRule="auto" w:line="240" w:before="120" w:after="0"/>
        <w:ind w:left="391" w:hanging="391"/>
        <w:jc w:val="both"/>
        <w:rPr>
          <w:rFonts w:ascii="DIN Alternate" w:hAnsi="DIN Alternate" w:eastAsia="DIN Alternate" w:cs="DIN Alternate"/>
          <w:sz w:val="24"/>
          <w:szCs w:val="24"/>
          <w:lang w:val="en-GB"/>
        </w:rPr>
      </w:pPr>
      <w:r>
        <w:rPr>
          <w:rFonts w:ascii="DIN Alternate" w:hAnsi="DIN Alternate"/>
          <w:sz w:val="24"/>
          <w:szCs w:val="24"/>
          <w:lang w:val="en-GB"/>
        </w:rPr>
        <w:t>The direction of The Days of Light festival can make decisions on any matters not covered by this Regulation.</w:t>
      </w:r>
    </w:p>
    <w:p>
      <w:pPr>
        <w:pStyle w:val="Normal"/>
        <w:spacing w:lineRule="auto" w:line="240" w:before="0" w:after="0"/>
        <w:ind w:left="426" w:hanging="426"/>
        <w:jc w:val="both"/>
        <w:rPr/>
      </w:pPr>
      <w:r>
        <w:rPr>
          <w:rFonts w:eastAsia="DIN Alternate" w:cs="DIN Alternate" w:ascii="DIN Alternate" w:hAnsi="DIN Alternate"/>
          <w:sz w:val="24"/>
          <w:szCs w:val="24"/>
          <w:lang w:val="en-GB"/>
        </w:rPr>
        <w:br/>
      </w:r>
      <w:r>
        <w:rPr>
          <w:rFonts w:ascii="DIN Alternate" w:hAnsi="DIN Alternate"/>
          <w:sz w:val="24"/>
          <w:szCs w:val="24"/>
          <w:lang w:val="en-GB"/>
        </w:rPr>
        <w:t xml:space="preserve">For any further information or clarification please contact the address: </w:t>
        <w:br/>
      </w:r>
      <w:hyperlink r:id="rId8">
        <w:r>
          <w:rPr>
            <w:rStyle w:val="Hyperlink1"/>
            <w:lang w:val="en-GB"/>
          </w:rPr>
          <w:t>info@legiorn</w:t>
        </w:r>
        <w:bookmarkStart w:id="1" w:name="_GoBack"/>
        <w:bookmarkEnd w:id="1"/>
        <w:r>
          <w:rPr>
            <w:rStyle w:val="Hyperlink1"/>
            <w:lang w:val="en-GB"/>
          </w:rPr>
          <w:t>atedellaluce.it</w:t>
        </w:r>
      </w:hyperlink>
    </w:p>
    <w:sectPr>
      <w:headerReference w:type="default" r:id="rId9"/>
      <w:footerReference w:type="default" r:id="rId10"/>
      <w:type w:val="nextPage"/>
      <w:pgSz w:w="11906" w:h="16838"/>
      <w:pgMar w:left="1304" w:right="1304" w:header="709" w:top="1588" w:footer="709" w:bottom="1418"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DIN Alternate">
    <w:charset w:val="00"/>
    <w:family w:val="roman"/>
    <w:pitch w:val="variable"/>
  </w:font>
  <w:font w:name="Liberation Sans">
    <w:altName w:val="Arial"/>
    <w:charset w:val="00"/>
    <w:family w:val="roman"/>
    <w:pitch w:val="variable"/>
  </w:font>
  <w:font w:name="Times">
    <w:altName w:val="Times New Roman"/>
    <w:charset w:val="00"/>
    <w:family w:val="roman"/>
    <w:pitch w:val="variable"/>
  </w:font>
  <w:font w:name="DIN Next LT Pro">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tabs>
        <w:tab w:val="center" w:pos="4819" w:leader="none"/>
        <w:tab w:val="right" w:pos="9272" w:leader="none"/>
        <w:tab w:val="right" w:pos="9638" w:leader="none"/>
      </w:tabs>
      <w:spacing w:before="0" w:after="200"/>
      <w:jc w:val="right"/>
      <w:rPr/>
    </w:pPr>
    <w:r>
      <w:rPr>
        <w:rFonts w:ascii="Trebuchet MS" w:hAnsi="Trebuchet MS"/>
        <w:color w:val="595959"/>
        <w:sz w:val="20"/>
        <w:szCs w:val="20"/>
        <w:u w:val="none" w:color="595959"/>
      </w:rPr>
      <w:t xml:space="preserve">Page </w:t>
    </w:r>
    <w:r>
      <w:rPr>
        <w:rFonts w:ascii="Trebuchet MS" w:hAnsi="Trebuchet MS"/>
        <w:color w:val="595959"/>
        <w:sz w:val="20"/>
        <w:szCs w:val="20"/>
        <w:u w:val="none" w:color="595959"/>
      </w:rPr>
      <w:fldChar w:fldCharType="begin"/>
    </w:r>
    <w:r>
      <w:rPr>
        <w:sz w:val="20"/>
        <w:u w:val="none" w:color="595959"/>
        <w:szCs w:val="20"/>
        <w:rFonts w:ascii="Trebuchet MS" w:hAnsi="Trebuchet MS"/>
      </w:rPr>
      <w:instrText> PAGE </w:instrText>
    </w:r>
    <w:r>
      <w:rPr>
        <w:sz w:val="20"/>
        <w:u w:val="none" w:color="595959"/>
        <w:szCs w:val="20"/>
        <w:rFonts w:ascii="Trebuchet MS" w:hAnsi="Trebuchet MS"/>
      </w:rPr>
      <w:fldChar w:fldCharType="separate"/>
    </w:r>
    <w:r>
      <w:rPr>
        <w:sz w:val="20"/>
        <w:u w:val="none" w:color="595959"/>
        <w:szCs w:val="20"/>
        <w:rFonts w:ascii="Trebuchet MS" w:hAnsi="Trebuchet MS"/>
      </w:rPr>
      <w:t>2</w:t>
    </w:r>
    <w:r>
      <w:rPr>
        <w:sz w:val="20"/>
        <w:u w:val="none" w:color="595959"/>
        <w:szCs w:val="20"/>
        <w:rFonts w:ascii="Trebuchet MS" w:hAnsi="Trebuchet MS"/>
      </w:rPr>
      <w:fldChar w:fldCharType="end"/>
    </w:r>
    <w:r>
      <w:rPr>
        <w:rFonts w:ascii="Trebuchet MS" w:hAnsi="Trebuchet MS"/>
        <w:color w:val="595959"/>
        <w:sz w:val="20"/>
        <w:szCs w:val="20"/>
        <w:u w:val="none" w:color="595959"/>
      </w:rPr>
      <w:t xml:space="preserve"> of </w:t>
    </w:r>
    <w:r>
      <w:rPr>
        <w:rFonts w:ascii="Trebuchet MS" w:hAnsi="Trebuchet MS"/>
        <w:color w:val="595959"/>
        <w:sz w:val="20"/>
        <w:szCs w:val="20"/>
        <w:u w:val="none" w:color="595959"/>
      </w:rPr>
      <w:fldChar w:fldCharType="begin"/>
    </w:r>
    <w:r>
      <w:rPr>
        <w:sz w:val="20"/>
        <w:u w:val="none" w:color="595959"/>
        <w:szCs w:val="20"/>
        <w:rFonts w:ascii="Trebuchet MS" w:hAnsi="Trebuchet MS"/>
      </w:rPr>
      <w:instrText> NUMPAGES </w:instrText>
    </w:r>
    <w:r>
      <w:rPr>
        <w:sz w:val="20"/>
        <w:u w:val="none" w:color="595959"/>
        <w:szCs w:val="20"/>
        <w:rFonts w:ascii="Trebuchet MS" w:hAnsi="Trebuchet MS"/>
      </w:rPr>
      <w:fldChar w:fldCharType="separate"/>
    </w:r>
    <w:r>
      <w:rPr>
        <w:sz w:val="20"/>
        <w:u w:val="none" w:color="595959"/>
        <w:szCs w:val="20"/>
        <w:rFonts w:ascii="Trebuchet MS" w:hAnsi="Trebuchet MS"/>
      </w:rPr>
      <w:t>2</w:t>
    </w:r>
    <w:r>
      <w:rPr>
        <w:sz w:val="20"/>
        <w:u w:val="none" w:color="595959"/>
        <w:szCs w:val="20"/>
        <w:rFonts w:ascii="Trebuchet MS" w:hAnsi="Trebuchet M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center" w:pos="4819" w:leader="none"/>
        <w:tab w:val="right" w:pos="9272" w:leader="none"/>
        <w:tab w:val="right" w:pos="9638" w:leader="none"/>
      </w:tabs>
      <w:spacing w:lineRule="auto" w:line="240"/>
      <w:rPr/>
    </w:pPr>
    <w:r>
      <w:rPr/>
      <mc:AlternateContent>
        <mc:Choice Requires="wps">
          <w:drawing>
            <wp:anchor behindDoc="1" distT="152400" distB="152400" distL="152400" distR="152400" simplePos="0" locked="0" layoutInCell="1" allowOverlap="1" relativeHeight="3">
              <wp:simplePos x="0" y="0"/>
              <wp:positionH relativeFrom="page">
                <wp:posOffset>771525</wp:posOffset>
              </wp:positionH>
              <wp:positionV relativeFrom="page">
                <wp:posOffset>722630</wp:posOffset>
              </wp:positionV>
              <wp:extent cx="6034405" cy="5715"/>
              <wp:effectExtent l="0" t="0" r="0" b="0"/>
              <wp:wrapNone/>
              <wp:docPr id="1" name="officeArt object"/>
              <a:graphic xmlns:a="http://schemas.openxmlformats.org/drawingml/2006/main">
                <a:graphicData uri="http://schemas.microsoft.com/office/word/2010/wordprocessingShape">
                  <wps:wsp>
                    <wps:cNvSpPr/>
                    <wps:spPr>
                      <a:xfrm>
                        <a:off x="0" y="0"/>
                        <a:ext cx="6033600" cy="1440"/>
                      </a:xfrm>
                      <a:prstGeom prst="line">
                        <a:avLst/>
                      </a:prstGeom>
                      <a:ln w="3240">
                        <a:solidFill>
                          <a:srgbClr val="808080"/>
                        </a:solidFill>
                        <a:round/>
                      </a:ln>
                    </wps:spPr>
                    <wps:style>
                      <a:lnRef idx="0"/>
                      <a:fillRef idx="0"/>
                      <a:effectRef idx="0"/>
                      <a:fontRef idx="minor"/>
                    </wps:style>
                    <wps:bodyPr/>
                  </wps:wsp>
                </a:graphicData>
              </a:graphic>
            </wp:anchor>
          </w:drawing>
        </mc:Choice>
        <mc:Fallback>
          <w:pict>
            <v:line id="shape_0" from="60.75pt,56.85pt" to="535.8pt,56.9pt" ID="officeArt object" stroked="t" style="position:absolute;mso-position-horizontal-relative:page;mso-position-vertical-relative:page">
              <v:stroke color="gray" weight="3240" joinstyle="round" endcap="flat"/>
              <v:fill o:detectmouseclick="t" on="false"/>
            </v:line>
          </w:pict>
        </mc:Fallback>
      </mc:AlternateContent>
      <w:drawing>
        <wp:anchor behindDoc="1" distT="152400" distB="152400" distL="152400" distR="152400" simplePos="0" locked="0" layoutInCell="1" allowOverlap="1" relativeHeight="5">
          <wp:simplePos x="0" y="0"/>
          <wp:positionH relativeFrom="page">
            <wp:posOffset>4768850</wp:posOffset>
          </wp:positionH>
          <wp:positionV relativeFrom="page">
            <wp:posOffset>330835</wp:posOffset>
          </wp:positionV>
          <wp:extent cx="2117090" cy="677545"/>
          <wp:effectExtent l="0" t="0" r="0" b="0"/>
          <wp:wrapNone/>
          <wp:docPr id="2" name="officeArt object"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
                  <pic:cNvPicPr>
                    <a:picLocks noChangeAspect="1" noChangeArrowheads="1"/>
                  </pic:cNvPicPr>
                </pic:nvPicPr>
                <pic:blipFill>
                  <a:blip r:embed="rId1"/>
                  <a:stretch>
                    <a:fillRect/>
                  </a:stretch>
                </pic:blipFill>
                <pic:spPr bwMode="auto">
                  <a:xfrm>
                    <a:off x="0" y="0"/>
                    <a:ext cx="2117090" cy="677545"/>
                  </a:xfrm>
                  <a:prstGeom prst="rect">
                    <a:avLst/>
                  </a:prstGeom>
                </pic:spPr>
              </pic:pic>
            </a:graphicData>
          </a:graphic>
        </wp:anchor>
      </w:drawing>
      <w:drawing>
        <wp:anchor behindDoc="1" distT="152400" distB="152400" distL="152400" distR="152400" simplePos="0" locked="0" layoutInCell="1" allowOverlap="1" relativeHeight="7">
          <wp:simplePos x="0" y="0"/>
          <wp:positionH relativeFrom="page">
            <wp:posOffset>713740</wp:posOffset>
          </wp:positionH>
          <wp:positionV relativeFrom="page">
            <wp:posOffset>385445</wp:posOffset>
          </wp:positionV>
          <wp:extent cx="1863090" cy="622935"/>
          <wp:effectExtent l="0" t="0" r="0" b="0"/>
          <wp:wrapNone/>
          <wp:docPr id="3"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descr=""/>
                  <pic:cNvPicPr>
                    <a:picLocks noChangeAspect="1" noChangeArrowheads="1"/>
                  </pic:cNvPicPr>
                </pic:nvPicPr>
                <pic:blipFill>
                  <a:blip r:embed="rId2"/>
                  <a:stretch>
                    <a:fillRect/>
                  </a:stretch>
                </pic:blipFill>
                <pic:spPr bwMode="auto">
                  <a:xfrm>
                    <a:off x="0" y="0"/>
                    <a:ext cx="1863090" cy="622935"/>
                  </a:xfrm>
                  <a:prstGeom prst="rect">
                    <a:avLst/>
                  </a:prstGeom>
                </pic:spPr>
              </pic:pic>
            </a:graphicData>
          </a:graphic>
        </wp:anchor>
      </w:drawing>
    </w:r>
  </w:p>
  <w:p>
    <w:pPr>
      <w:pStyle w:val="Intestazione"/>
      <w:tabs>
        <w:tab w:val="center" w:pos="4819" w:leader="none"/>
        <w:tab w:val="right" w:pos="9272" w:leader="none"/>
        <w:tab w:val="right" w:pos="9638" w:leader="none"/>
      </w:tabs>
      <w:spacing w:lineRule="auto" w:line="240"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26" w:hanging="426"/>
      </w:pPr>
      <w:rPr>
        <w:sz w:val="24"/>
        <w:szCs w:val="24"/>
        <w:rFonts w:ascii="DIN Alternate" w:hAnsi="DIN Alternate" w:eastAsia="DIN Alternate" w:cs="DIN Alternate"/>
      </w:rPr>
    </w:lvl>
    <w:lvl w:ilvl="1">
      <w:start w:val="1"/>
      <w:numFmt w:val="lowerLetter"/>
      <w:lvlText w:val="%2."/>
      <w:lvlJc w:val="left"/>
      <w:pPr>
        <w:ind w:left="1440" w:hanging="360"/>
      </w:pPr>
      <w:rPr>
        <w:sz w:val="24"/>
        <w:szCs w:val="24"/>
        <w:rFonts w:eastAsia="DIN Alternate" w:cs="DIN Alternate"/>
      </w:rPr>
    </w:lvl>
    <w:lvl w:ilvl="2">
      <w:start w:val="1"/>
      <w:numFmt w:val="lowerRoman"/>
      <w:lvlText w:val="%3."/>
      <w:lvlJc w:val="left"/>
      <w:pPr>
        <w:ind w:left="2160" w:hanging="296"/>
      </w:pPr>
      <w:rPr>
        <w:sz w:val="24"/>
        <w:szCs w:val="24"/>
        <w:rFonts w:eastAsia="DIN Alternate" w:cs="DIN Alternate"/>
      </w:rPr>
    </w:lvl>
    <w:lvl w:ilvl="3">
      <w:start w:val="1"/>
      <w:numFmt w:val="decimal"/>
      <w:lvlText w:val="%4."/>
      <w:lvlJc w:val="left"/>
      <w:pPr>
        <w:ind w:left="2880" w:hanging="360"/>
      </w:pPr>
      <w:rPr>
        <w:sz w:val="24"/>
        <w:szCs w:val="24"/>
        <w:rFonts w:eastAsia="DIN Alternate" w:cs="DIN Alternate"/>
      </w:rPr>
    </w:lvl>
    <w:lvl w:ilvl="4">
      <w:start w:val="1"/>
      <w:numFmt w:val="lowerLetter"/>
      <w:lvlText w:val="%5."/>
      <w:lvlJc w:val="left"/>
      <w:pPr>
        <w:ind w:left="3600" w:hanging="360"/>
      </w:pPr>
      <w:rPr>
        <w:sz w:val="24"/>
        <w:szCs w:val="24"/>
        <w:rFonts w:eastAsia="DIN Alternate" w:cs="DIN Alternate"/>
      </w:rPr>
    </w:lvl>
    <w:lvl w:ilvl="5">
      <w:start w:val="1"/>
      <w:numFmt w:val="lowerRoman"/>
      <w:lvlText w:val="%6."/>
      <w:lvlJc w:val="left"/>
      <w:pPr>
        <w:ind w:left="4320" w:hanging="296"/>
      </w:pPr>
      <w:rPr>
        <w:sz w:val="24"/>
        <w:szCs w:val="24"/>
        <w:rFonts w:eastAsia="DIN Alternate" w:cs="DIN Alternate"/>
      </w:rPr>
    </w:lvl>
    <w:lvl w:ilvl="6">
      <w:start w:val="1"/>
      <w:numFmt w:val="decimal"/>
      <w:lvlText w:val="%7."/>
      <w:lvlJc w:val="left"/>
      <w:pPr>
        <w:ind w:left="5040" w:hanging="360"/>
      </w:pPr>
      <w:rPr>
        <w:sz w:val="24"/>
        <w:szCs w:val="24"/>
        <w:rFonts w:eastAsia="DIN Alternate" w:cs="DIN Alternate"/>
      </w:rPr>
    </w:lvl>
    <w:lvl w:ilvl="7">
      <w:start w:val="1"/>
      <w:numFmt w:val="lowerLetter"/>
      <w:lvlText w:val="%8."/>
      <w:lvlJc w:val="left"/>
      <w:pPr>
        <w:ind w:left="5760" w:hanging="360"/>
      </w:pPr>
      <w:rPr>
        <w:sz w:val="24"/>
        <w:szCs w:val="24"/>
        <w:rFonts w:eastAsia="DIN Alternate" w:cs="DIN Alternate"/>
      </w:rPr>
    </w:lvl>
    <w:lvl w:ilvl="8">
      <w:start w:val="1"/>
      <w:numFmt w:val="lowerRoman"/>
      <w:lvlText w:val="%9."/>
      <w:lvlJc w:val="left"/>
      <w:pPr>
        <w:ind w:left="6480" w:hanging="296"/>
      </w:pPr>
      <w:rPr>
        <w:sz w:val="24"/>
        <w:szCs w:val="24"/>
        <w:rFonts w:eastAsia="DIN Alternate" w:cs="DIN Alternate"/>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it-IT" w:eastAsia="zh-CN" w:bidi="hi-IN"/>
      </w:rPr>
    </w:rPrDefault>
    <w:pPrDefault>
      <w:pPr>
        <w:widowControl/>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false"/>
      <w:kinsoku w:val="true"/>
      <w:overflowPunct w:val="true"/>
      <w:autoSpaceDE w:val="true"/>
      <w:bidi w:val="0"/>
      <w:spacing w:lineRule="auto" w:line="276" w:before="0" w:after="200"/>
      <w:jc w:val="left"/>
    </w:pPr>
    <w:rPr>
      <w:rFonts w:ascii="Calibri" w:hAnsi="Calibri" w:eastAsia="Calibri" w:cs="Calibri"/>
      <w:color w:val="000000"/>
      <w:kern w:val="0"/>
      <w:sz w:val="22"/>
      <w:szCs w:val="22"/>
      <w:u w:val="none" w:color="000000"/>
      <w:lang w:val="it-IT" w:eastAsia="zh-CN" w:bidi="hi-IN"/>
    </w:rPr>
  </w:style>
  <w:style w:type="character" w:styleId="DefaultParagraphFont" w:default="1">
    <w:name w:val="Default Paragraph Font"/>
    <w:uiPriority w:val="1"/>
    <w:semiHidden/>
    <w:unhideWhenUsed/>
    <w:qFormat/>
    <w:rPr/>
  </w:style>
  <w:style w:type="character" w:styleId="CollegamentoInternet" w:customStyle="1">
    <w:name w:val="Collegamento Internet"/>
    <w:basedOn w:val="DefaultParagraphFont"/>
    <w:uiPriority w:val="99"/>
    <w:unhideWhenUsed/>
    <w:rsid w:val="00f96d25"/>
    <w:rPr>
      <w:color w:val="0000FF" w:themeColor="hyperlink"/>
      <w:u w:val="single"/>
    </w:rPr>
  </w:style>
  <w:style w:type="character" w:styleId="Nessuno" w:customStyle="1">
    <w:name w:val="Nessuno"/>
    <w:qFormat/>
    <w:rPr/>
  </w:style>
  <w:style w:type="character" w:styleId="Hyperlink0" w:customStyle="1">
    <w:name w:val="Hyperlink.0"/>
    <w:basedOn w:val="Nessuno"/>
    <w:qFormat/>
    <w:rPr>
      <w:rFonts w:ascii="DIN Alternate" w:hAnsi="DIN Alternate" w:eastAsia="DIN Alternate" w:cs="DIN Alternate"/>
      <w:color w:val="0000FF"/>
      <w:sz w:val="24"/>
      <w:szCs w:val="24"/>
      <w:u w:val="single" w:color="0000FF"/>
    </w:rPr>
  </w:style>
  <w:style w:type="character" w:styleId="Hyperlink1" w:customStyle="1">
    <w:name w:val="Hyperlink.1"/>
    <w:basedOn w:val="Nessuno"/>
    <w:qFormat/>
    <w:rPr>
      <w:rFonts w:ascii="DIN Alternate" w:hAnsi="DIN Alternate" w:eastAsia="DIN Alternate" w:cs="DIN Alternate"/>
      <w:color w:val="0000FF"/>
      <w:sz w:val="24"/>
      <w:szCs w:val="24"/>
      <w:u w:val="single" w:color="0000FF"/>
    </w:rPr>
  </w:style>
  <w:style w:type="character" w:styleId="ListLabel1" w:customStyle="1">
    <w:name w:val="ListLabel 1"/>
    <w:qFormat/>
    <w:rPr>
      <w:rFonts w:eastAsia="DIN Alternate" w:cs="DIN Alternate"/>
      <w:sz w:val="24"/>
      <w:szCs w:val="24"/>
    </w:rPr>
  </w:style>
  <w:style w:type="character" w:styleId="ListLabel2" w:customStyle="1">
    <w:name w:val="ListLabel 2"/>
    <w:qFormat/>
    <w:rPr>
      <w:rFonts w:eastAsia="DIN Alternate" w:cs="DIN Alternate"/>
      <w:sz w:val="24"/>
      <w:szCs w:val="24"/>
    </w:rPr>
  </w:style>
  <w:style w:type="character" w:styleId="ListLabel3" w:customStyle="1">
    <w:name w:val="ListLabel 3"/>
    <w:qFormat/>
    <w:rPr>
      <w:rFonts w:eastAsia="DIN Alternate" w:cs="DIN Alternate"/>
      <w:sz w:val="24"/>
      <w:szCs w:val="24"/>
    </w:rPr>
  </w:style>
  <w:style w:type="character" w:styleId="ListLabel4" w:customStyle="1">
    <w:name w:val="ListLabel 4"/>
    <w:qFormat/>
    <w:rPr>
      <w:rFonts w:eastAsia="DIN Alternate" w:cs="DIN Alternate"/>
      <w:sz w:val="24"/>
      <w:szCs w:val="24"/>
    </w:rPr>
  </w:style>
  <w:style w:type="character" w:styleId="ListLabel5" w:customStyle="1">
    <w:name w:val="ListLabel 5"/>
    <w:qFormat/>
    <w:rPr>
      <w:rFonts w:eastAsia="DIN Alternate" w:cs="DIN Alternate"/>
      <w:sz w:val="24"/>
      <w:szCs w:val="24"/>
    </w:rPr>
  </w:style>
  <w:style w:type="character" w:styleId="ListLabel6" w:customStyle="1">
    <w:name w:val="ListLabel 6"/>
    <w:qFormat/>
    <w:rPr>
      <w:rFonts w:eastAsia="DIN Alternate" w:cs="DIN Alternate"/>
      <w:sz w:val="24"/>
      <w:szCs w:val="24"/>
    </w:rPr>
  </w:style>
  <w:style w:type="character" w:styleId="ListLabel7" w:customStyle="1">
    <w:name w:val="ListLabel 7"/>
    <w:qFormat/>
    <w:rPr>
      <w:rFonts w:eastAsia="DIN Alternate" w:cs="DIN Alternate"/>
      <w:sz w:val="24"/>
      <w:szCs w:val="24"/>
    </w:rPr>
  </w:style>
  <w:style w:type="character" w:styleId="ListLabel8" w:customStyle="1">
    <w:name w:val="ListLabel 8"/>
    <w:qFormat/>
    <w:rPr>
      <w:rFonts w:eastAsia="DIN Alternate" w:cs="DIN Alternate"/>
      <w:sz w:val="24"/>
      <w:szCs w:val="24"/>
    </w:rPr>
  </w:style>
  <w:style w:type="character" w:styleId="ListLabel9" w:customStyle="1">
    <w:name w:val="ListLabel 9"/>
    <w:qFormat/>
    <w:rPr>
      <w:rFonts w:eastAsia="DIN Alternate" w:cs="DIN Alternate"/>
      <w:sz w:val="24"/>
      <w:szCs w:val="24"/>
    </w:rPr>
  </w:style>
  <w:style w:type="character" w:styleId="ListLabel10" w:customStyle="1">
    <w:name w:val="ListLabel 10"/>
    <w:qFormat/>
    <w:rPr>
      <w:rFonts w:ascii="DIN Alternate" w:hAnsi="DIN Alternate" w:eastAsia="DIN Alternate" w:cs="DIN Alternate"/>
      <w:sz w:val="24"/>
      <w:szCs w:val="24"/>
    </w:rPr>
  </w:style>
  <w:style w:type="character" w:styleId="ListLabel11" w:customStyle="1">
    <w:name w:val="ListLabel 11"/>
    <w:qFormat/>
    <w:rPr>
      <w:rFonts w:eastAsia="DIN Alternate" w:cs="DIN Alternate"/>
      <w:sz w:val="24"/>
      <w:szCs w:val="24"/>
    </w:rPr>
  </w:style>
  <w:style w:type="character" w:styleId="ListLabel12" w:customStyle="1">
    <w:name w:val="ListLabel 12"/>
    <w:qFormat/>
    <w:rPr>
      <w:rFonts w:eastAsia="DIN Alternate" w:cs="DIN Alternate"/>
      <w:sz w:val="24"/>
      <w:szCs w:val="24"/>
    </w:rPr>
  </w:style>
  <w:style w:type="character" w:styleId="ListLabel13" w:customStyle="1">
    <w:name w:val="ListLabel 13"/>
    <w:qFormat/>
    <w:rPr>
      <w:rFonts w:eastAsia="DIN Alternate" w:cs="DIN Alternate"/>
      <w:sz w:val="24"/>
      <w:szCs w:val="24"/>
    </w:rPr>
  </w:style>
  <w:style w:type="character" w:styleId="ListLabel14" w:customStyle="1">
    <w:name w:val="ListLabel 14"/>
    <w:qFormat/>
    <w:rPr>
      <w:rFonts w:eastAsia="DIN Alternate" w:cs="DIN Alternate"/>
      <w:sz w:val="24"/>
      <w:szCs w:val="24"/>
    </w:rPr>
  </w:style>
  <w:style w:type="character" w:styleId="ListLabel15" w:customStyle="1">
    <w:name w:val="ListLabel 15"/>
    <w:qFormat/>
    <w:rPr>
      <w:rFonts w:eastAsia="DIN Alternate" w:cs="DIN Alternate"/>
      <w:sz w:val="24"/>
      <w:szCs w:val="24"/>
    </w:rPr>
  </w:style>
  <w:style w:type="character" w:styleId="ListLabel16" w:customStyle="1">
    <w:name w:val="ListLabel 16"/>
    <w:qFormat/>
    <w:rPr>
      <w:rFonts w:eastAsia="DIN Alternate" w:cs="DIN Alternate"/>
      <w:sz w:val="24"/>
      <w:szCs w:val="24"/>
    </w:rPr>
  </w:style>
  <w:style w:type="character" w:styleId="ListLabel17" w:customStyle="1">
    <w:name w:val="ListLabel 17"/>
    <w:qFormat/>
    <w:rPr>
      <w:rFonts w:eastAsia="DIN Alternate" w:cs="DIN Alternate"/>
      <w:sz w:val="24"/>
      <w:szCs w:val="24"/>
    </w:rPr>
  </w:style>
  <w:style w:type="character" w:styleId="ListLabel18" w:customStyle="1">
    <w:name w:val="ListLabel 18"/>
    <w:qFormat/>
    <w:rPr>
      <w:rFonts w:eastAsia="DIN Alternate" w:cs="DIN Alternate"/>
      <w:sz w:val="24"/>
      <w:szCs w:val="24"/>
    </w:rPr>
  </w:style>
  <w:style w:type="character" w:styleId="ListLabel19" w:customStyle="1">
    <w:name w:val="ListLabel 19"/>
    <w:qFormat/>
    <w:rPr>
      <w:rFonts w:ascii="DIN Alternate" w:hAnsi="DIN Alternate"/>
      <w:color w:val="0000FF"/>
      <w:sz w:val="24"/>
      <w:szCs w:val="24"/>
      <w:u w:val="single" w:color="0000FF"/>
      <w:lang w:val="it-IT"/>
    </w:rPr>
  </w:style>
  <w:style w:type="character" w:styleId="ListLabel20" w:customStyle="1">
    <w:name w:val="ListLabel 20"/>
    <w:qFormat/>
    <w:rPr>
      <w:rFonts w:ascii="DIN Alternate" w:hAnsi="DIN Alternate"/>
      <w:color w:val="0000FF"/>
      <w:sz w:val="24"/>
      <w:szCs w:val="24"/>
      <w:u w:val="single" w:color="0000FF"/>
      <w:lang w:val="it-IT"/>
    </w:rPr>
  </w:style>
  <w:style w:type="character" w:styleId="ListLabel21" w:customStyle="1">
    <w:name w:val="ListLabel 21"/>
    <w:qFormat/>
    <w:rPr>
      <w:rFonts w:ascii="DIN Alternate" w:hAnsi="DIN Alternate" w:eastAsia="DIN Alternate" w:cs="DIN Alternate"/>
      <w:sz w:val="24"/>
      <w:szCs w:val="24"/>
    </w:rPr>
  </w:style>
  <w:style w:type="character" w:styleId="ListLabel22" w:customStyle="1">
    <w:name w:val="ListLabel 22"/>
    <w:qFormat/>
    <w:rPr>
      <w:rFonts w:eastAsia="DIN Alternate" w:cs="DIN Alternate"/>
      <w:sz w:val="24"/>
      <w:szCs w:val="24"/>
    </w:rPr>
  </w:style>
  <w:style w:type="character" w:styleId="ListLabel23" w:customStyle="1">
    <w:name w:val="ListLabel 23"/>
    <w:qFormat/>
    <w:rPr>
      <w:rFonts w:eastAsia="DIN Alternate" w:cs="DIN Alternate"/>
      <w:sz w:val="24"/>
      <w:szCs w:val="24"/>
    </w:rPr>
  </w:style>
  <w:style w:type="character" w:styleId="ListLabel24" w:customStyle="1">
    <w:name w:val="ListLabel 24"/>
    <w:qFormat/>
    <w:rPr>
      <w:rFonts w:eastAsia="DIN Alternate" w:cs="DIN Alternate"/>
      <w:sz w:val="24"/>
      <w:szCs w:val="24"/>
    </w:rPr>
  </w:style>
  <w:style w:type="character" w:styleId="ListLabel25" w:customStyle="1">
    <w:name w:val="ListLabel 25"/>
    <w:qFormat/>
    <w:rPr>
      <w:rFonts w:eastAsia="DIN Alternate" w:cs="DIN Alternate"/>
      <w:sz w:val="24"/>
      <w:szCs w:val="24"/>
    </w:rPr>
  </w:style>
  <w:style w:type="character" w:styleId="ListLabel26" w:customStyle="1">
    <w:name w:val="ListLabel 26"/>
    <w:qFormat/>
    <w:rPr>
      <w:rFonts w:eastAsia="DIN Alternate" w:cs="DIN Alternate"/>
      <w:sz w:val="24"/>
      <w:szCs w:val="24"/>
    </w:rPr>
  </w:style>
  <w:style w:type="character" w:styleId="ListLabel27" w:customStyle="1">
    <w:name w:val="ListLabel 27"/>
    <w:qFormat/>
    <w:rPr>
      <w:rFonts w:eastAsia="DIN Alternate" w:cs="DIN Alternate"/>
      <w:sz w:val="24"/>
      <w:szCs w:val="24"/>
    </w:rPr>
  </w:style>
  <w:style w:type="character" w:styleId="ListLabel28" w:customStyle="1">
    <w:name w:val="ListLabel 28"/>
    <w:qFormat/>
    <w:rPr>
      <w:rFonts w:eastAsia="DIN Alternate" w:cs="DIN Alternate"/>
      <w:sz w:val="24"/>
      <w:szCs w:val="24"/>
    </w:rPr>
  </w:style>
  <w:style w:type="character" w:styleId="ListLabel29" w:customStyle="1">
    <w:name w:val="ListLabel 29"/>
    <w:qFormat/>
    <w:rPr>
      <w:rFonts w:eastAsia="DIN Alternate" w:cs="DIN Alternate"/>
      <w:sz w:val="24"/>
      <w:szCs w:val="24"/>
    </w:rPr>
  </w:style>
  <w:style w:type="character" w:styleId="ListLabel30" w:customStyle="1">
    <w:name w:val="ListLabel 30"/>
    <w:qFormat/>
    <w:rPr>
      <w:rFonts w:ascii="DIN Alternate" w:hAnsi="DIN Alternate"/>
      <w:color w:val="0000FF"/>
      <w:sz w:val="24"/>
      <w:szCs w:val="24"/>
      <w:u w:val="single" w:color="0000FF"/>
      <w:lang w:val="it-IT"/>
    </w:rPr>
  </w:style>
  <w:style w:type="character" w:styleId="ListLabel31" w:customStyle="1">
    <w:name w:val="ListLabel 31"/>
    <w:qFormat/>
    <w:rPr>
      <w:rFonts w:ascii="DIN Alternate" w:hAnsi="DIN Alternate"/>
      <w:color w:val="0000FF"/>
      <w:sz w:val="24"/>
      <w:szCs w:val="24"/>
      <w:u w:val="single" w:color="0000FF"/>
      <w:lang w:val="it-IT"/>
    </w:rPr>
  </w:style>
  <w:style w:type="character" w:styleId="ListLabel32" w:customStyle="1">
    <w:name w:val="ListLabel 32"/>
    <w:qFormat/>
    <w:rPr>
      <w:rFonts w:ascii="DIN Alternate" w:hAnsi="DIN Alternate" w:eastAsia="DIN Alternate" w:cs="DIN Alternate"/>
      <w:sz w:val="24"/>
      <w:szCs w:val="24"/>
    </w:rPr>
  </w:style>
  <w:style w:type="character" w:styleId="ListLabel33" w:customStyle="1">
    <w:name w:val="ListLabel 33"/>
    <w:qFormat/>
    <w:rPr>
      <w:rFonts w:eastAsia="DIN Alternate" w:cs="DIN Alternate"/>
      <w:sz w:val="24"/>
      <w:szCs w:val="24"/>
    </w:rPr>
  </w:style>
  <w:style w:type="character" w:styleId="ListLabel34" w:customStyle="1">
    <w:name w:val="ListLabel 34"/>
    <w:qFormat/>
    <w:rPr>
      <w:rFonts w:eastAsia="DIN Alternate" w:cs="DIN Alternate"/>
      <w:sz w:val="24"/>
      <w:szCs w:val="24"/>
    </w:rPr>
  </w:style>
  <w:style w:type="character" w:styleId="ListLabel35" w:customStyle="1">
    <w:name w:val="ListLabel 35"/>
    <w:qFormat/>
    <w:rPr>
      <w:rFonts w:eastAsia="DIN Alternate" w:cs="DIN Alternate"/>
      <w:sz w:val="24"/>
      <w:szCs w:val="24"/>
    </w:rPr>
  </w:style>
  <w:style w:type="character" w:styleId="ListLabel36" w:customStyle="1">
    <w:name w:val="ListLabel 36"/>
    <w:qFormat/>
    <w:rPr>
      <w:rFonts w:eastAsia="DIN Alternate" w:cs="DIN Alternate"/>
      <w:sz w:val="24"/>
      <w:szCs w:val="24"/>
    </w:rPr>
  </w:style>
  <w:style w:type="character" w:styleId="ListLabel37" w:customStyle="1">
    <w:name w:val="ListLabel 37"/>
    <w:qFormat/>
    <w:rPr>
      <w:rFonts w:eastAsia="DIN Alternate" w:cs="DIN Alternate"/>
      <w:sz w:val="24"/>
      <w:szCs w:val="24"/>
    </w:rPr>
  </w:style>
  <w:style w:type="character" w:styleId="ListLabel38" w:customStyle="1">
    <w:name w:val="ListLabel 38"/>
    <w:qFormat/>
    <w:rPr>
      <w:rFonts w:eastAsia="DIN Alternate" w:cs="DIN Alternate"/>
      <w:sz w:val="24"/>
      <w:szCs w:val="24"/>
    </w:rPr>
  </w:style>
  <w:style w:type="character" w:styleId="ListLabel39" w:customStyle="1">
    <w:name w:val="ListLabel 39"/>
    <w:qFormat/>
    <w:rPr>
      <w:rFonts w:eastAsia="DIN Alternate" w:cs="DIN Alternate"/>
      <w:sz w:val="24"/>
      <w:szCs w:val="24"/>
    </w:rPr>
  </w:style>
  <w:style w:type="character" w:styleId="ListLabel40" w:customStyle="1">
    <w:name w:val="ListLabel 40"/>
    <w:qFormat/>
    <w:rPr>
      <w:rFonts w:eastAsia="DIN Alternate" w:cs="DIN Alternate"/>
      <w:sz w:val="24"/>
      <w:szCs w:val="24"/>
    </w:rPr>
  </w:style>
  <w:style w:type="character" w:styleId="ListLabel41" w:customStyle="1">
    <w:name w:val="ListLabel 41"/>
    <w:qFormat/>
    <w:rPr>
      <w:rFonts w:ascii="DIN Alternate" w:hAnsi="DIN Alternate"/>
      <w:color w:val="0000FF"/>
      <w:sz w:val="24"/>
      <w:szCs w:val="24"/>
      <w:u w:val="single" w:color="0000FF"/>
      <w:lang w:val="it-IT"/>
    </w:rPr>
  </w:style>
  <w:style w:type="character" w:styleId="ListLabel42" w:customStyle="1">
    <w:name w:val="ListLabel 42"/>
    <w:qFormat/>
    <w:rPr>
      <w:rFonts w:ascii="DIN Alternate" w:hAnsi="DIN Alternate"/>
      <w:color w:val="0000FF"/>
      <w:sz w:val="24"/>
      <w:szCs w:val="24"/>
      <w:u w:val="single" w:color="0000FF"/>
      <w:lang w:val="it-IT"/>
    </w:rPr>
  </w:style>
  <w:style w:type="character" w:styleId="ListLabel43" w:customStyle="1">
    <w:name w:val="ListLabel 43"/>
    <w:qFormat/>
    <w:rPr>
      <w:rFonts w:ascii="DIN Alternate" w:hAnsi="DIN Alternate" w:eastAsia="DIN Alternate" w:cs="DIN Alternate"/>
      <w:sz w:val="24"/>
      <w:szCs w:val="24"/>
    </w:rPr>
  </w:style>
  <w:style w:type="character" w:styleId="ListLabel44" w:customStyle="1">
    <w:name w:val="ListLabel 44"/>
    <w:qFormat/>
    <w:rPr>
      <w:rFonts w:eastAsia="DIN Alternate" w:cs="DIN Alternate"/>
      <w:sz w:val="24"/>
      <w:szCs w:val="24"/>
    </w:rPr>
  </w:style>
  <w:style w:type="character" w:styleId="ListLabel45" w:customStyle="1">
    <w:name w:val="ListLabel 45"/>
    <w:qFormat/>
    <w:rPr>
      <w:rFonts w:eastAsia="DIN Alternate" w:cs="DIN Alternate"/>
      <w:sz w:val="24"/>
      <w:szCs w:val="24"/>
    </w:rPr>
  </w:style>
  <w:style w:type="character" w:styleId="ListLabel46" w:customStyle="1">
    <w:name w:val="ListLabel 46"/>
    <w:qFormat/>
    <w:rPr>
      <w:rFonts w:eastAsia="DIN Alternate" w:cs="DIN Alternate"/>
      <w:sz w:val="24"/>
      <w:szCs w:val="24"/>
    </w:rPr>
  </w:style>
  <w:style w:type="character" w:styleId="ListLabel47" w:customStyle="1">
    <w:name w:val="ListLabel 47"/>
    <w:qFormat/>
    <w:rPr>
      <w:rFonts w:eastAsia="DIN Alternate" w:cs="DIN Alternate"/>
      <w:sz w:val="24"/>
      <w:szCs w:val="24"/>
    </w:rPr>
  </w:style>
  <w:style w:type="character" w:styleId="ListLabel48" w:customStyle="1">
    <w:name w:val="ListLabel 48"/>
    <w:qFormat/>
    <w:rPr>
      <w:rFonts w:eastAsia="DIN Alternate" w:cs="DIN Alternate"/>
      <w:sz w:val="24"/>
      <w:szCs w:val="24"/>
    </w:rPr>
  </w:style>
  <w:style w:type="character" w:styleId="ListLabel49" w:customStyle="1">
    <w:name w:val="ListLabel 49"/>
    <w:qFormat/>
    <w:rPr>
      <w:rFonts w:eastAsia="DIN Alternate" w:cs="DIN Alternate"/>
      <w:sz w:val="24"/>
      <w:szCs w:val="24"/>
    </w:rPr>
  </w:style>
  <w:style w:type="character" w:styleId="ListLabel50" w:customStyle="1">
    <w:name w:val="ListLabel 50"/>
    <w:qFormat/>
    <w:rPr>
      <w:rFonts w:eastAsia="DIN Alternate" w:cs="DIN Alternate"/>
      <w:sz w:val="24"/>
      <w:szCs w:val="24"/>
    </w:rPr>
  </w:style>
  <w:style w:type="character" w:styleId="ListLabel51" w:customStyle="1">
    <w:name w:val="ListLabel 51"/>
    <w:qFormat/>
    <w:rPr>
      <w:rFonts w:eastAsia="DIN Alternate" w:cs="DIN Alternate"/>
      <w:sz w:val="24"/>
      <w:szCs w:val="24"/>
    </w:rPr>
  </w:style>
  <w:style w:type="character" w:styleId="ListLabel52" w:customStyle="1">
    <w:name w:val="ListLabel 52"/>
    <w:qFormat/>
    <w:rPr>
      <w:rFonts w:ascii="DIN Alternate" w:hAnsi="DIN Alternate"/>
      <w:color w:val="0000FF"/>
      <w:sz w:val="24"/>
      <w:szCs w:val="24"/>
      <w:u w:val="single" w:color="0000FF"/>
      <w:lang w:val="it-IT"/>
    </w:rPr>
  </w:style>
  <w:style w:type="character" w:styleId="ListLabel53" w:customStyle="1">
    <w:name w:val="ListLabel 53"/>
    <w:qFormat/>
    <w:rPr>
      <w:rFonts w:ascii="DIN Alternate" w:hAnsi="DIN Alternate"/>
      <w:color w:val="0000FF"/>
      <w:sz w:val="24"/>
      <w:szCs w:val="24"/>
      <w:u w:val="single" w:color="0000FF"/>
      <w:lang w:val="it-IT"/>
    </w:rPr>
  </w:style>
  <w:style w:type="character" w:styleId="ListLabel54" w:customStyle="1">
    <w:name w:val="ListLabel 54"/>
    <w:qFormat/>
    <w:rPr>
      <w:rFonts w:ascii="DIN Alternate" w:hAnsi="DIN Alternate" w:eastAsia="DIN Alternate" w:cs="DIN Alternate"/>
      <w:sz w:val="24"/>
      <w:szCs w:val="24"/>
    </w:rPr>
  </w:style>
  <w:style w:type="character" w:styleId="ListLabel55" w:customStyle="1">
    <w:name w:val="ListLabel 55"/>
    <w:qFormat/>
    <w:rPr>
      <w:rFonts w:eastAsia="DIN Alternate" w:cs="DIN Alternate"/>
      <w:sz w:val="24"/>
      <w:szCs w:val="24"/>
    </w:rPr>
  </w:style>
  <w:style w:type="character" w:styleId="ListLabel56" w:customStyle="1">
    <w:name w:val="ListLabel 56"/>
    <w:qFormat/>
    <w:rPr>
      <w:rFonts w:eastAsia="DIN Alternate" w:cs="DIN Alternate"/>
      <w:sz w:val="24"/>
      <w:szCs w:val="24"/>
    </w:rPr>
  </w:style>
  <w:style w:type="character" w:styleId="ListLabel57" w:customStyle="1">
    <w:name w:val="ListLabel 57"/>
    <w:qFormat/>
    <w:rPr>
      <w:rFonts w:eastAsia="DIN Alternate" w:cs="DIN Alternate"/>
      <w:sz w:val="24"/>
      <w:szCs w:val="24"/>
    </w:rPr>
  </w:style>
  <w:style w:type="character" w:styleId="ListLabel58" w:customStyle="1">
    <w:name w:val="ListLabel 58"/>
    <w:qFormat/>
    <w:rPr>
      <w:rFonts w:eastAsia="DIN Alternate" w:cs="DIN Alternate"/>
      <w:sz w:val="24"/>
      <w:szCs w:val="24"/>
    </w:rPr>
  </w:style>
  <w:style w:type="character" w:styleId="ListLabel59" w:customStyle="1">
    <w:name w:val="ListLabel 59"/>
    <w:qFormat/>
    <w:rPr>
      <w:rFonts w:eastAsia="DIN Alternate" w:cs="DIN Alternate"/>
      <w:sz w:val="24"/>
      <w:szCs w:val="24"/>
    </w:rPr>
  </w:style>
  <w:style w:type="character" w:styleId="ListLabel60" w:customStyle="1">
    <w:name w:val="ListLabel 60"/>
    <w:qFormat/>
    <w:rPr>
      <w:rFonts w:eastAsia="DIN Alternate" w:cs="DIN Alternate"/>
      <w:sz w:val="24"/>
      <w:szCs w:val="24"/>
    </w:rPr>
  </w:style>
  <w:style w:type="character" w:styleId="ListLabel61" w:customStyle="1">
    <w:name w:val="ListLabel 61"/>
    <w:qFormat/>
    <w:rPr>
      <w:rFonts w:eastAsia="DIN Alternate" w:cs="DIN Alternate"/>
      <w:sz w:val="24"/>
      <w:szCs w:val="24"/>
    </w:rPr>
  </w:style>
  <w:style w:type="character" w:styleId="ListLabel62" w:customStyle="1">
    <w:name w:val="ListLabel 62"/>
    <w:qFormat/>
    <w:rPr>
      <w:rFonts w:eastAsia="DIN Alternate" w:cs="DIN Alternate"/>
      <w:sz w:val="24"/>
      <w:szCs w:val="24"/>
    </w:rPr>
  </w:style>
  <w:style w:type="character" w:styleId="ListLabel63" w:customStyle="1">
    <w:name w:val="ListLabel 63"/>
    <w:qFormat/>
    <w:rPr>
      <w:rFonts w:ascii="DIN Alternate" w:hAnsi="DIN Alternate"/>
      <w:color w:val="0000FF"/>
      <w:sz w:val="24"/>
      <w:szCs w:val="24"/>
      <w:u w:val="single" w:color="0000FF"/>
      <w:lang w:val="it-IT"/>
    </w:rPr>
  </w:style>
  <w:style w:type="character" w:styleId="ListLabel64" w:customStyle="1">
    <w:name w:val="ListLabel 64"/>
    <w:qFormat/>
    <w:rPr>
      <w:rFonts w:ascii="DIN Alternate" w:hAnsi="DIN Alternate"/>
      <w:color w:val="0000FF"/>
      <w:sz w:val="24"/>
      <w:szCs w:val="24"/>
      <w:u w:val="single" w:color="0000FF"/>
      <w:lang w:val="it-IT"/>
    </w:rPr>
  </w:style>
  <w:style w:type="character" w:styleId="ListLabel65" w:customStyle="1">
    <w:name w:val="ListLabel 65"/>
    <w:qFormat/>
    <w:rPr>
      <w:rFonts w:ascii="DIN Alternate" w:hAnsi="DIN Alternate" w:eastAsia="DIN Alternate" w:cs="DIN Alternate"/>
      <w:sz w:val="24"/>
      <w:szCs w:val="24"/>
    </w:rPr>
  </w:style>
  <w:style w:type="character" w:styleId="ListLabel66" w:customStyle="1">
    <w:name w:val="ListLabel 66"/>
    <w:qFormat/>
    <w:rPr>
      <w:rFonts w:eastAsia="DIN Alternate" w:cs="DIN Alternate"/>
      <w:sz w:val="24"/>
      <w:szCs w:val="24"/>
    </w:rPr>
  </w:style>
  <w:style w:type="character" w:styleId="ListLabel67" w:customStyle="1">
    <w:name w:val="ListLabel 67"/>
    <w:qFormat/>
    <w:rPr>
      <w:rFonts w:eastAsia="DIN Alternate" w:cs="DIN Alternate"/>
      <w:sz w:val="24"/>
      <w:szCs w:val="24"/>
    </w:rPr>
  </w:style>
  <w:style w:type="character" w:styleId="ListLabel68" w:customStyle="1">
    <w:name w:val="ListLabel 68"/>
    <w:qFormat/>
    <w:rPr>
      <w:rFonts w:eastAsia="DIN Alternate" w:cs="DIN Alternate"/>
      <w:sz w:val="24"/>
      <w:szCs w:val="24"/>
    </w:rPr>
  </w:style>
  <w:style w:type="character" w:styleId="ListLabel69" w:customStyle="1">
    <w:name w:val="ListLabel 69"/>
    <w:qFormat/>
    <w:rPr>
      <w:rFonts w:eastAsia="DIN Alternate" w:cs="DIN Alternate"/>
      <w:sz w:val="24"/>
      <w:szCs w:val="24"/>
    </w:rPr>
  </w:style>
  <w:style w:type="character" w:styleId="ListLabel70" w:customStyle="1">
    <w:name w:val="ListLabel 70"/>
    <w:qFormat/>
    <w:rPr>
      <w:rFonts w:eastAsia="DIN Alternate" w:cs="DIN Alternate"/>
      <w:sz w:val="24"/>
      <w:szCs w:val="24"/>
    </w:rPr>
  </w:style>
  <w:style w:type="character" w:styleId="ListLabel71" w:customStyle="1">
    <w:name w:val="ListLabel 71"/>
    <w:qFormat/>
    <w:rPr>
      <w:rFonts w:eastAsia="DIN Alternate" w:cs="DIN Alternate"/>
      <w:sz w:val="24"/>
      <w:szCs w:val="24"/>
    </w:rPr>
  </w:style>
  <w:style w:type="character" w:styleId="ListLabel72" w:customStyle="1">
    <w:name w:val="ListLabel 72"/>
    <w:qFormat/>
    <w:rPr>
      <w:rFonts w:eastAsia="DIN Alternate" w:cs="DIN Alternate"/>
      <w:sz w:val="24"/>
      <w:szCs w:val="24"/>
    </w:rPr>
  </w:style>
  <w:style w:type="character" w:styleId="ListLabel73" w:customStyle="1">
    <w:name w:val="ListLabel 73"/>
    <w:qFormat/>
    <w:rPr>
      <w:rFonts w:eastAsia="DIN Alternate" w:cs="DIN Alternate"/>
      <w:sz w:val="24"/>
      <w:szCs w:val="24"/>
    </w:rPr>
  </w:style>
  <w:style w:type="character" w:styleId="ListLabel74" w:customStyle="1">
    <w:name w:val="ListLabel 74"/>
    <w:qFormat/>
    <w:rPr>
      <w:lang w:val="en-GB"/>
    </w:rPr>
  </w:style>
  <w:style w:type="character" w:styleId="ListLabel75" w:customStyle="1">
    <w:name w:val="ListLabel 75"/>
    <w:qFormat/>
    <w:rPr>
      <w:rFonts w:ascii="DIN Alternate" w:hAnsi="DIN Alternate"/>
      <w:sz w:val="24"/>
      <w:szCs w:val="24"/>
      <w:u w:val="none" w:color="00000A"/>
      <w:lang w:val="en-GB"/>
    </w:rPr>
  </w:style>
  <w:style w:type="character" w:styleId="ListLabel76" w:customStyle="1">
    <w:name w:val="ListLabel 76"/>
    <w:qFormat/>
    <w:rPr>
      <w:lang w:val="en-GB"/>
    </w:rPr>
  </w:style>
  <w:style w:type="character" w:styleId="ListLabel77">
    <w:name w:val="ListLabel 77"/>
    <w:qFormat/>
    <w:rPr>
      <w:rFonts w:ascii="DIN Alternate" w:hAnsi="DIN Alternate" w:eastAsia="DIN Alternate" w:cs="DIN Alternate"/>
      <w:sz w:val="24"/>
      <w:szCs w:val="24"/>
    </w:rPr>
  </w:style>
  <w:style w:type="character" w:styleId="ListLabel78">
    <w:name w:val="ListLabel 78"/>
    <w:qFormat/>
    <w:rPr>
      <w:rFonts w:eastAsia="DIN Alternate" w:cs="DIN Alternate"/>
      <w:sz w:val="24"/>
      <w:szCs w:val="24"/>
    </w:rPr>
  </w:style>
  <w:style w:type="character" w:styleId="ListLabel79">
    <w:name w:val="ListLabel 79"/>
    <w:qFormat/>
    <w:rPr>
      <w:rFonts w:eastAsia="DIN Alternate" w:cs="DIN Alternate"/>
      <w:sz w:val="24"/>
      <w:szCs w:val="24"/>
    </w:rPr>
  </w:style>
  <w:style w:type="character" w:styleId="ListLabel80">
    <w:name w:val="ListLabel 80"/>
    <w:qFormat/>
    <w:rPr>
      <w:rFonts w:eastAsia="DIN Alternate" w:cs="DIN Alternate"/>
      <w:sz w:val="24"/>
      <w:szCs w:val="24"/>
    </w:rPr>
  </w:style>
  <w:style w:type="character" w:styleId="ListLabel81">
    <w:name w:val="ListLabel 81"/>
    <w:qFormat/>
    <w:rPr>
      <w:rFonts w:eastAsia="DIN Alternate" w:cs="DIN Alternate"/>
      <w:sz w:val="24"/>
      <w:szCs w:val="24"/>
    </w:rPr>
  </w:style>
  <w:style w:type="character" w:styleId="ListLabel82">
    <w:name w:val="ListLabel 82"/>
    <w:qFormat/>
    <w:rPr>
      <w:rFonts w:eastAsia="DIN Alternate" w:cs="DIN Alternate"/>
      <w:sz w:val="24"/>
      <w:szCs w:val="24"/>
    </w:rPr>
  </w:style>
  <w:style w:type="character" w:styleId="ListLabel83">
    <w:name w:val="ListLabel 83"/>
    <w:qFormat/>
    <w:rPr>
      <w:rFonts w:eastAsia="DIN Alternate" w:cs="DIN Alternate"/>
      <w:sz w:val="24"/>
      <w:szCs w:val="24"/>
    </w:rPr>
  </w:style>
  <w:style w:type="character" w:styleId="ListLabel84">
    <w:name w:val="ListLabel 84"/>
    <w:qFormat/>
    <w:rPr>
      <w:rFonts w:eastAsia="DIN Alternate" w:cs="DIN Alternate"/>
      <w:sz w:val="24"/>
      <w:szCs w:val="24"/>
    </w:rPr>
  </w:style>
  <w:style w:type="character" w:styleId="ListLabel85">
    <w:name w:val="ListLabel 85"/>
    <w:qFormat/>
    <w:rPr>
      <w:rFonts w:eastAsia="DIN Alternate" w:cs="DIN Alternate"/>
      <w:sz w:val="24"/>
      <w:szCs w:val="24"/>
    </w:rPr>
  </w:style>
  <w:style w:type="character" w:styleId="ListLabel86">
    <w:name w:val="ListLabel 86"/>
    <w:qFormat/>
    <w:rPr>
      <w:lang w:val="en-GB"/>
    </w:rPr>
  </w:style>
  <w:style w:type="character" w:styleId="ListLabel87">
    <w:name w:val="ListLabel 87"/>
    <w:qFormat/>
    <w:rPr>
      <w:rFonts w:ascii="DIN Alternate" w:hAnsi="DIN Alternate"/>
      <w:sz w:val="24"/>
      <w:szCs w:val="24"/>
      <w:u w:val="none" w:color="00000A"/>
      <w:lang w:val="en-GB"/>
    </w:rPr>
  </w:style>
  <w:style w:type="character" w:styleId="ListLabel88">
    <w:name w:val="ListLabel 88"/>
    <w:qFormat/>
    <w:rPr>
      <w:lang w:val="en-GB"/>
    </w:rPr>
  </w:style>
  <w:style w:type="character" w:styleId="ListLabel89">
    <w:name w:val="ListLabel 89"/>
    <w:qFormat/>
    <w:rPr>
      <w:rFonts w:ascii="DIN Alternate" w:hAnsi="DIN Alternate" w:eastAsia="DIN Alternate" w:cs="DIN Alternate"/>
      <w:sz w:val="24"/>
      <w:szCs w:val="24"/>
    </w:rPr>
  </w:style>
  <w:style w:type="character" w:styleId="ListLabel90">
    <w:name w:val="ListLabel 90"/>
    <w:qFormat/>
    <w:rPr>
      <w:rFonts w:eastAsia="DIN Alternate" w:cs="DIN Alternate"/>
      <w:sz w:val="24"/>
      <w:szCs w:val="24"/>
    </w:rPr>
  </w:style>
  <w:style w:type="character" w:styleId="ListLabel91">
    <w:name w:val="ListLabel 91"/>
    <w:qFormat/>
    <w:rPr>
      <w:rFonts w:eastAsia="DIN Alternate" w:cs="DIN Alternate"/>
      <w:sz w:val="24"/>
      <w:szCs w:val="24"/>
    </w:rPr>
  </w:style>
  <w:style w:type="character" w:styleId="ListLabel92">
    <w:name w:val="ListLabel 92"/>
    <w:qFormat/>
    <w:rPr>
      <w:rFonts w:eastAsia="DIN Alternate" w:cs="DIN Alternate"/>
      <w:sz w:val="24"/>
      <w:szCs w:val="24"/>
    </w:rPr>
  </w:style>
  <w:style w:type="character" w:styleId="ListLabel93">
    <w:name w:val="ListLabel 93"/>
    <w:qFormat/>
    <w:rPr>
      <w:rFonts w:eastAsia="DIN Alternate" w:cs="DIN Alternate"/>
      <w:sz w:val="24"/>
      <w:szCs w:val="24"/>
    </w:rPr>
  </w:style>
  <w:style w:type="character" w:styleId="ListLabel94">
    <w:name w:val="ListLabel 94"/>
    <w:qFormat/>
    <w:rPr>
      <w:rFonts w:eastAsia="DIN Alternate" w:cs="DIN Alternate"/>
      <w:sz w:val="24"/>
      <w:szCs w:val="24"/>
    </w:rPr>
  </w:style>
  <w:style w:type="character" w:styleId="ListLabel95">
    <w:name w:val="ListLabel 95"/>
    <w:qFormat/>
    <w:rPr>
      <w:rFonts w:eastAsia="DIN Alternate" w:cs="DIN Alternate"/>
      <w:sz w:val="24"/>
      <w:szCs w:val="24"/>
    </w:rPr>
  </w:style>
  <w:style w:type="character" w:styleId="ListLabel96">
    <w:name w:val="ListLabel 96"/>
    <w:qFormat/>
    <w:rPr>
      <w:rFonts w:eastAsia="DIN Alternate" w:cs="DIN Alternate"/>
      <w:sz w:val="24"/>
      <w:szCs w:val="24"/>
    </w:rPr>
  </w:style>
  <w:style w:type="character" w:styleId="ListLabel97">
    <w:name w:val="ListLabel 97"/>
    <w:qFormat/>
    <w:rPr>
      <w:rFonts w:eastAsia="DIN Alternate" w:cs="DIN Alternate"/>
      <w:sz w:val="24"/>
      <w:szCs w:val="24"/>
    </w:rPr>
  </w:style>
  <w:style w:type="character" w:styleId="ListLabel98">
    <w:name w:val="ListLabel 98"/>
    <w:qFormat/>
    <w:rPr>
      <w:lang w:val="en-GB"/>
    </w:rPr>
  </w:style>
  <w:style w:type="character" w:styleId="ListLabel99">
    <w:name w:val="ListLabel 99"/>
    <w:qFormat/>
    <w:rPr>
      <w:rFonts w:ascii="DIN Alternate" w:hAnsi="DIN Alternate"/>
      <w:sz w:val="24"/>
      <w:szCs w:val="24"/>
      <w:u w:val="none" w:color="00000A"/>
      <w:lang w:val="en-GB"/>
    </w:rPr>
  </w:style>
  <w:style w:type="character" w:styleId="ListLabel100">
    <w:name w:val="ListLabel 100"/>
    <w:qFormat/>
    <w:rPr>
      <w:lang w:val="en-GB"/>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Intestazione">
    <w:name w:val="Header"/>
    <w:basedOn w:val="Normal"/>
    <w:pPr>
      <w:tabs>
        <w:tab w:val="center" w:pos="4819" w:leader="none"/>
        <w:tab w:val="right" w:pos="9638" w:leader="none"/>
      </w:tabs>
    </w:pPr>
    <w:rPr/>
  </w:style>
  <w:style w:type="paragraph" w:styleId="Pidipagina">
    <w:name w:val="Footer"/>
    <w:basedOn w:val="Normal"/>
    <w:pPr>
      <w:tabs>
        <w:tab w:val="center" w:pos="4819" w:leader="none"/>
        <w:tab w:val="right" w:pos="9638" w:leader="none"/>
      </w:tabs>
    </w:pPr>
    <w:rPr/>
  </w:style>
  <w:style w:type="paragraph" w:styleId="NormalWeb">
    <w:name w:val="Normal (Web)"/>
    <w:qFormat/>
    <w:pPr>
      <w:widowControl/>
      <w:suppressAutoHyphens w:val="true"/>
      <w:kinsoku w:val="true"/>
      <w:overflowPunct w:val="true"/>
      <w:autoSpaceDE w:val="true"/>
      <w:bidi w:val="0"/>
      <w:jc w:val="left"/>
    </w:pPr>
    <w:rPr>
      <w:rFonts w:ascii="Times" w:hAnsi="Times" w:eastAsia="Arial Unicode MS" w:cs="Arial Unicode MS"/>
      <w:color w:val="000000"/>
      <w:kern w:val="2"/>
      <w:sz w:val="22"/>
      <w:szCs w:val="20"/>
      <w:u w:val="none" w:color="000000"/>
      <w:lang w:val="it-IT" w:eastAsia="zh-CN" w:bidi="hi-IN"/>
    </w:rPr>
  </w:style>
  <w:style w:type="numbering" w:styleId="NoList" w:default="1">
    <w:name w:val="No List"/>
    <w:uiPriority w:val="99"/>
    <w:semiHidden/>
    <w:unhideWhenUsed/>
    <w:qFormat/>
  </w:style>
  <w:style w:type="numbering" w:styleId="List0" w:customStyle="1">
    <w:name w:val="List 0"/>
    <w:qFormat/>
  </w:style>
  <w:style w:type="numbering" w:styleId="Stileimportato1" w:customStyle="1">
    <w:name w:val="Stile importato 1"/>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egiornatedellaluce.it/" TargetMode="External"/><Relationship Id="rId3" Type="http://schemas.openxmlformats.org/officeDocument/2006/relationships/hyperlink" Target="mailto:info@legiornatedellaluce.it" TargetMode="External"/><Relationship Id="rId4" Type="http://schemas.openxmlformats.org/officeDocument/2006/relationships/hyperlink" Target="http://www.legiornatedellaluce.it/nuovasigla" TargetMode="External"/><Relationship Id="rId5" Type="http://schemas.openxmlformats.org/officeDocument/2006/relationships/hyperlink" Target="mailto:info@legiornatedellaluce.it" TargetMode="External"/><Relationship Id="rId6" Type="http://schemas.openxmlformats.org/officeDocument/2006/relationships/hyperlink" Target="http://www.legiornatedellaluce.it/nuovasigla" TargetMode="External"/><Relationship Id="rId7" Type="http://schemas.openxmlformats.org/officeDocument/2006/relationships/hyperlink" Target="mailto:info@legiornatedellaluce.it" TargetMode="External"/><Relationship Id="rId8" Type="http://schemas.openxmlformats.org/officeDocument/2006/relationships/hyperlink" Target="mailto:info@legiornatedellaluce.it"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LibreOffice/6.0.3.2$Windows_X86_64 LibreOffice_project/8f48d515416608e3a835360314dac7e47fd0b821</Application>
  <Pages>2</Pages>
  <Words>733</Words>
  <Characters>3857</Characters>
  <CharactersWithSpaces>4563</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2024-11-25T13:55:00Z</dcterms:created>
  <dc:creator>Marta</dc:creator>
  <dc:description/>
  <dc:language>it-IT</dc:language>
  <cp:lastModifiedBy/>
  <dcterms:modified xsi:type="dcterms:W3CDTF">2024-12-03T11:58:44Z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